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3E50" w14:textId="039F157F" w:rsidR="00416ED5" w:rsidRPr="00B54523" w:rsidRDefault="00416ED5" w:rsidP="009D6B67">
      <w:pPr>
        <w:pStyle w:val="Heading1"/>
        <w:numPr>
          <w:ilvl w:val="0"/>
          <w:numId w:val="8"/>
        </w:numPr>
        <w:jc w:val="both"/>
        <w:rPr>
          <w:rFonts w:asciiTheme="minorHAnsi" w:hAnsiTheme="minorHAnsi" w:cstheme="minorHAnsi"/>
          <w:sz w:val="22"/>
          <w:szCs w:val="22"/>
          <w:lang w:val="ro-RO"/>
        </w:rPr>
      </w:pPr>
      <w:bookmarkStart w:id="0" w:name="_Toc144910459"/>
      <w:r w:rsidRPr="00B54523">
        <w:rPr>
          <w:rFonts w:asciiTheme="minorHAnsi" w:hAnsiTheme="minorHAnsi" w:cstheme="minorHAnsi"/>
          <w:sz w:val="22"/>
          <w:szCs w:val="22"/>
          <w:lang w:val="ro-RO"/>
        </w:rPr>
        <w:t>Introducere:</w:t>
      </w:r>
      <w:bookmarkEnd w:id="0"/>
    </w:p>
    <w:p w14:paraId="40554ED1" w14:textId="77777777" w:rsidR="00416ED5" w:rsidRPr="00B54523" w:rsidRDefault="00416ED5" w:rsidP="009D6B67">
      <w:pPr>
        <w:jc w:val="both"/>
        <w:rPr>
          <w:rFonts w:asciiTheme="minorHAnsi" w:hAnsiTheme="minorHAnsi"/>
          <w:sz w:val="12"/>
          <w:szCs w:val="12"/>
          <w:lang w:val="ro-RO"/>
        </w:rPr>
      </w:pPr>
    </w:p>
    <w:p w14:paraId="23BD73E8" w14:textId="4635278B" w:rsidR="00416ED5" w:rsidRPr="00B54523" w:rsidRDefault="00416ED5" w:rsidP="009D6B67">
      <w:pPr>
        <w:jc w:val="both"/>
        <w:rPr>
          <w:rFonts w:asciiTheme="minorHAnsi" w:hAnsiTheme="minorHAnsi"/>
          <w:b/>
          <w:bCs/>
          <w:sz w:val="22"/>
          <w:szCs w:val="22"/>
          <w:lang w:val="ro-RO"/>
        </w:rPr>
      </w:pPr>
      <w:r w:rsidRPr="00B54523">
        <w:rPr>
          <w:rFonts w:asciiTheme="minorHAnsi" w:hAnsiTheme="minorHAnsi"/>
          <w:sz w:val="22"/>
          <w:szCs w:val="22"/>
          <w:lang w:val="ro-RO"/>
        </w:rPr>
        <w:t>Imunizarea la schimbările climatice este un proces care integrează în toate etapele aferente ciclului unui proiect de infrastructură măsuri de atenuare a schimbărilor climatice și de adaptare la acestea. Mai precis, pentru infrastructura cu o durată de viaț</w:t>
      </w:r>
      <w:r w:rsidR="00A12538" w:rsidRPr="00B54523">
        <w:rPr>
          <w:rFonts w:asciiTheme="minorHAnsi" w:hAnsiTheme="minorHAnsi"/>
          <w:sz w:val="22"/>
          <w:szCs w:val="22"/>
          <w:lang w:val="ro-RO"/>
        </w:rPr>
        <w:t xml:space="preserve">ă care depășește anul 2050, </w:t>
      </w:r>
      <w:r w:rsidRPr="00B54523">
        <w:rPr>
          <w:rFonts w:asciiTheme="minorHAnsi" w:hAnsiTheme="minorHAnsi"/>
          <w:sz w:val="22"/>
          <w:szCs w:val="22"/>
          <w:lang w:val="ro-RO"/>
        </w:rPr>
        <w:t xml:space="preserve">trebuie </w:t>
      </w:r>
      <w:r w:rsidR="00D1065C" w:rsidRPr="00B54523">
        <w:rPr>
          <w:rFonts w:asciiTheme="minorHAnsi" w:hAnsiTheme="minorHAnsi"/>
          <w:sz w:val="22"/>
          <w:szCs w:val="22"/>
          <w:lang w:val="ro-RO"/>
        </w:rPr>
        <w:t>să î</w:t>
      </w:r>
      <w:r w:rsidRPr="00B54523">
        <w:rPr>
          <w:rFonts w:asciiTheme="minorHAnsi" w:hAnsiTheme="minorHAnsi"/>
          <w:sz w:val="22"/>
          <w:szCs w:val="22"/>
          <w:lang w:val="ro-RO"/>
        </w:rPr>
        <w:t>nglobeze perspectiva că exploatarea, întreținerea și dezafectarea finală a acesteia ar trebui să se desfășoare într-un mod neutru din punct de vedere climatic, care poate include considerații legate de economia circulară, cum ar fi reciclarea sau reconversia materialelor. În acest sens, reziliența la schimbările climatice a noilor proiecte de infrastructură ar trebui asigurată prin măsuri de adaptare adecvate, bazate pe o evaluare a riscurilor aferente schimbărilor climatice.</w:t>
      </w:r>
    </w:p>
    <w:p w14:paraId="361445CD" w14:textId="77777777" w:rsidR="00416ED5" w:rsidRPr="00B54523" w:rsidRDefault="00416ED5" w:rsidP="009D6B67">
      <w:pPr>
        <w:jc w:val="both"/>
        <w:rPr>
          <w:rFonts w:asciiTheme="minorHAnsi" w:hAnsiTheme="minorHAnsi"/>
          <w:b/>
          <w:bCs/>
          <w:sz w:val="22"/>
          <w:szCs w:val="22"/>
          <w:lang w:val="ro-RO"/>
        </w:rPr>
      </w:pPr>
    </w:p>
    <w:p w14:paraId="7CCF3082" w14:textId="77777777" w:rsidR="00064493" w:rsidRPr="00B54523" w:rsidRDefault="00064493" w:rsidP="009D6B67">
      <w:pPr>
        <w:jc w:val="both"/>
        <w:rPr>
          <w:rFonts w:asciiTheme="minorHAnsi" w:hAnsiTheme="minorHAnsi"/>
          <w:b/>
          <w:bCs/>
          <w:sz w:val="22"/>
          <w:szCs w:val="22"/>
          <w:lang w:val="ro-RO"/>
        </w:rPr>
      </w:pPr>
      <w:r w:rsidRPr="00B54523">
        <w:rPr>
          <w:rFonts w:asciiTheme="minorHAnsi" w:hAnsiTheme="minorHAnsi"/>
          <w:sz w:val="22"/>
          <w:szCs w:val="22"/>
          <w:lang w:val="ro-RO"/>
        </w:rPr>
        <w:t>Procesul este împărțit în doi piloni (atenuare și adaptare) și două faze (examinare și analiză detaliată), iar partea de documentare și verificare a modalităților de imunizare la schimbările climatice este considerată un element esențial al raționamentului pentru luarea deciziilor de investiții.</w:t>
      </w:r>
    </w:p>
    <w:p w14:paraId="4FB98746" w14:textId="0844A332" w:rsidR="00416ED5" w:rsidRPr="00B54523" w:rsidRDefault="00416ED5" w:rsidP="009D6B67">
      <w:pPr>
        <w:pStyle w:val="Heading1"/>
        <w:numPr>
          <w:ilvl w:val="0"/>
          <w:numId w:val="8"/>
        </w:numPr>
        <w:jc w:val="both"/>
        <w:rPr>
          <w:rFonts w:asciiTheme="minorHAnsi" w:hAnsiTheme="minorHAnsi" w:cstheme="minorHAnsi"/>
          <w:sz w:val="22"/>
          <w:szCs w:val="22"/>
          <w:lang w:val="ro-RO"/>
        </w:rPr>
      </w:pPr>
      <w:bookmarkStart w:id="1" w:name="_Toc144910460"/>
      <w:r w:rsidRPr="00B54523">
        <w:rPr>
          <w:rFonts w:asciiTheme="minorHAnsi" w:hAnsiTheme="minorHAnsi" w:cstheme="minorHAnsi"/>
          <w:sz w:val="22"/>
          <w:szCs w:val="22"/>
          <w:lang w:val="ro-RO"/>
        </w:rPr>
        <w:t>Aplicabilitatea preze</w:t>
      </w:r>
      <w:r w:rsidR="0041329B" w:rsidRPr="00B54523">
        <w:rPr>
          <w:rFonts w:asciiTheme="minorHAnsi" w:hAnsiTheme="minorHAnsi" w:cstheme="minorHAnsi"/>
          <w:sz w:val="22"/>
          <w:szCs w:val="22"/>
          <w:lang w:val="ro-RO"/>
        </w:rPr>
        <w:t>n</w:t>
      </w:r>
      <w:r w:rsidRPr="00B54523">
        <w:rPr>
          <w:rFonts w:asciiTheme="minorHAnsi" w:hAnsiTheme="minorHAnsi" w:cstheme="minorHAnsi"/>
          <w:sz w:val="22"/>
          <w:szCs w:val="22"/>
          <w:lang w:val="ro-RO"/>
        </w:rPr>
        <w:t>tei metodologii</w:t>
      </w:r>
      <w:bookmarkEnd w:id="1"/>
    </w:p>
    <w:p w14:paraId="5DCB3B29" w14:textId="77777777" w:rsidR="00416ED5" w:rsidRPr="00B54523" w:rsidRDefault="00416ED5" w:rsidP="009D6B67">
      <w:pPr>
        <w:jc w:val="both"/>
        <w:rPr>
          <w:rFonts w:asciiTheme="minorHAnsi" w:hAnsiTheme="minorHAnsi"/>
          <w:sz w:val="12"/>
          <w:szCs w:val="12"/>
          <w:lang w:val="ro-RO"/>
        </w:rPr>
      </w:pPr>
    </w:p>
    <w:p w14:paraId="46D0D83E" w14:textId="50EF2799" w:rsidR="00510854" w:rsidRPr="00B54523" w:rsidRDefault="00510854" w:rsidP="009D6B67">
      <w:pPr>
        <w:jc w:val="both"/>
        <w:rPr>
          <w:rFonts w:asciiTheme="minorHAnsi" w:hAnsiTheme="minorHAnsi"/>
          <w:b/>
          <w:bCs/>
          <w:sz w:val="22"/>
          <w:szCs w:val="22"/>
          <w:lang w:val="ro-RO"/>
        </w:rPr>
      </w:pPr>
      <w:r w:rsidRPr="00B54523">
        <w:rPr>
          <w:rFonts w:asciiTheme="minorHAnsi" w:hAnsiTheme="minorHAnsi"/>
          <w:sz w:val="22"/>
          <w:szCs w:val="22"/>
          <w:lang w:val="ro-RO"/>
        </w:rPr>
        <w:t xml:space="preserve">Prezenta metodologie se </w:t>
      </w:r>
      <w:r w:rsidR="00DC065F" w:rsidRPr="00B54523">
        <w:rPr>
          <w:rFonts w:asciiTheme="minorHAnsi" w:hAnsiTheme="minorHAnsi"/>
          <w:sz w:val="22"/>
          <w:szCs w:val="22"/>
          <w:lang w:val="ro-RO"/>
        </w:rPr>
        <w:t xml:space="preserve">aplică pentru investițiile în infrastructură </w:t>
      </w:r>
      <w:r w:rsidR="00DC065F" w:rsidRPr="005C75B5">
        <w:rPr>
          <w:rFonts w:asciiTheme="minorHAnsi" w:hAnsiTheme="minorHAnsi"/>
          <w:sz w:val="22"/>
          <w:szCs w:val="22"/>
          <w:lang w:val="ro-RO"/>
        </w:rPr>
        <w:t>care au o durată de viață preconizată de cel puțin cinci ani</w:t>
      </w:r>
      <w:r w:rsidRPr="005C75B5">
        <w:rPr>
          <w:rFonts w:asciiTheme="minorHAnsi" w:hAnsiTheme="minorHAnsi"/>
          <w:sz w:val="22"/>
          <w:szCs w:val="22"/>
          <w:lang w:val="ro-RO"/>
        </w:rPr>
        <w:t>,</w:t>
      </w:r>
      <w:r w:rsidRPr="00B54523">
        <w:rPr>
          <w:rFonts w:asciiTheme="minorHAnsi" w:hAnsiTheme="minorHAnsi"/>
          <w:sz w:val="22"/>
          <w:szCs w:val="22"/>
          <w:lang w:val="ro-RO"/>
        </w:rPr>
        <w:t xml:space="preserve"> în conformitate cu normele de proiectare în vigoare pentru diferitele categorii de construcții și instalații și respectiv  luând în considerare durata normală de funcționare prevăzută de  HG nr. 2139/2004. </w:t>
      </w:r>
    </w:p>
    <w:p w14:paraId="2B9C3CB8" w14:textId="77777777" w:rsidR="00510854" w:rsidRPr="00B54523" w:rsidRDefault="00510854" w:rsidP="009D6B67">
      <w:pPr>
        <w:jc w:val="both"/>
        <w:rPr>
          <w:rFonts w:asciiTheme="minorHAnsi" w:hAnsiTheme="minorHAnsi"/>
          <w:b/>
          <w:bCs/>
          <w:sz w:val="12"/>
          <w:szCs w:val="12"/>
          <w:lang w:val="ro-RO"/>
        </w:rPr>
      </w:pPr>
    </w:p>
    <w:p w14:paraId="29813E60" w14:textId="0084BAA9" w:rsidR="00510854" w:rsidRPr="00B54523" w:rsidRDefault="00510854" w:rsidP="009D6B67">
      <w:pPr>
        <w:jc w:val="both"/>
        <w:rPr>
          <w:rFonts w:asciiTheme="minorHAnsi" w:hAnsiTheme="minorHAnsi"/>
          <w:b/>
          <w:bCs/>
          <w:sz w:val="22"/>
          <w:szCs w:val="22"/>
          <w:lang w:val="ro-RO"/>
        </w:rPr>
      </w:pPr>
      <w:r w:rsidRPr="00B54523">
        <w:rPr>
          <w:rFonts w:asciiTheme="minorHAnsi" w:hAnsiTheme="minorHAnsi"/>
          <w:sz w:val="22"/>
          <w:szCs w:val="22"/>
          <w:lang w:val="ro-RO"/>
        </w:rPr>
        <w:t>Menționăm că durata normală de funcționare reprezint</w:t>
      </w:r>
      <w:r w:rsidR="00E7642F" w:rsidRPr="00B54523">
        <w:rPr>
          <w:rFonts w:asciiTheme="minorHAnsi" w:hAnsiTheme="minorHAnsi"/>
          <w:sz w:val="22"/>
          <w:szCs w:val="22"/>
          <w:lang w:val="ro-RO"/>
        </w:rPr>
        <w:t>ă</w:t>
      </w:r>
      <w:r w:rsidRPr="00B54523">
        <w:rPr>
          <w:rFonts w:asciiTheme="minorHAnsi" w:hAnsiTheme="minorHAnsi"/>
          <w:sz w:val="22"/>
          <w:szCs w:val="22"/>
          <w:lang w:val="ro-RO"/>
        </w:rPr>
        <w:t xml:space="preserve"> durata de utilizare </w:t>
      </w:r>
      <w:r w:rsidR="00E7642F" w:rsidRPr="00B54523">
        <w:rPr>
          <w:rFonts w:asciiTheme="minorHAnsi" w:hAnsiTheme="minorHAnsi"/>
          <w:sz w:val="22"/>
          <w:szCs w:val="22"/>
          <w:lang w:val="ro-RO"/>
        </w:rPr>
        <w:t>î</w:t>
      </w:r>
      <w:r w:rsidRPr="00B54523">
        <w:rPr>
          <w:rFonts w:asciiTheme="minorHAnsi" w:hAnsiTheme="minorHAnsi"/>
          <w:sz w:val="22"/>
          <w:szCs w:val="22"/>
          <w:lang w:val="ro-RO"/>
        </w:rPr>
        <w:t>n care se recupereaz</w:t>
      </w:r>
      <w:r w:rsidR="00E7642F" w:rsidRPr="00B54523">
        <w:rPr>
          <w:rFonts w:asciiTheme="minorHAnsi" w:hAnsiTheme="minorHAnsi"/>
          <w:sz w:val="22"/>
          <w:szCs w:val="22"/>
          <w:lang w:val="ro-RO"/>
        </w:rPr>
        <w:t>ă</w:t>
      </w:r>
      <w:r w:rsidRPr="00B54523">
        <w:rPr>
          <w:rFonts w:asciiTheme="minorHAnsi" w:hAnsiTheme="minorHAnsi"/>
          <w:sz w:val="22"/>
          <w:szCs w:val="22"/>
          <w:lang w:val="ro-RO"/>
        </w:rPr>
        <w:t xml:space="preserve"> din punct de vedere fiscal valoarea de intrare a mijloacelor fixe pe calea amortiz</w:t>
      </w:r>
      <w:r w:rsidR="00E7642F" w:rsidRPr="00B54523">
        <w:rPr>
          <w:rFonts w:asciiTheme="minorHAnsi" w:hAnsiTheme="minorHAnsi"/>
          <w:sz w:val="22"/>
          <w:szCs w:val="22"/>
          <w:lang w:val="ro-RO"/>
        </w:rPr>
        <w:t>ă</w:t>
      </w:r>
      <w:r w:rsidRPr="00B54523">
        <w:rPr>
          <w:rFonts w:asciiTheme="minorHAnsi" w:hAnsiTheme="minorHAnsi"/>
          <w:sz w:val="22"/>
          <w:szCs w:val="22"/>
          <w:lang w:val="ro-RO"/>
        </w:rPr>
        <w:t>rii. In consecin</w:t>
      </w:r>
      <w:r w:rsidR="00E7642F" w:rsidRPr="00B54523">
        <w:rPr>
          <w:rFonts w:asciiTheme="minorHAnsi" w:hAnsiTheme="minorHAnsi"/>
          <w:sz w:val="22"/>
          <w:szCs w:val="22"/>
          <w:lang w:val="ro-RO"/>
        </w:rPr>
        <w:t>ță</w:t>
      </w:r>
      <w:r w:rsidRPr="00B54523">
        <w:rPr>
          <w:rFonts w:asciiTheme="minorHAnsi" w:hAnsiTheme="minorHAnsi"/>
          <w:sz w:val="22"/>
          <w:szCs w:val="22"/>
          <w:lang w:val="ro-RO"/>
        </w:rPr>
        <w:t>, durata normal</w:t>
      </w:r>
      <w:r w:rsidR="00E7642F" w:rsidRPr="00B54523">
        <w:rPr>
          <w:rFonts w:asciiTheme="minorHAnsi" w:hAnsiTheme="minorHAnsi"/>
          <w:sz w:val="22"/>
          <w:szCs w:val="22"/>
          <w:lang w:val="ro-RO"/>
        </w:rPr>
        <w:t>ă</w:t>
      </w:r>
      <w:r w:rsidRPr="00B54523">
        <w:rPr>
          <w:rFonts w:asciiTheme="minorHAnsi" w:hAnsiTheme="minorHAnsi"/>
          <w:sz w:val="22"/>
          <w:szCs w:val="22"/>
          <w:lang w:val="ro-RO"/>
        </w:rPr>
        <w:t xml:space="preserve"> de func</w:t>
      </w:r>
      <w:r w:rsidR="00E7642F" w:rsidRPr="00B54523">
        <w:rPr>
          <w:rFonts w:asciiTheme="minorHAnsi" w:hAnsiTheme="minorHAnsi"/>
          <w:sz w:val="22"/>
          <w:szCs w:val="22"/>
          <w:lang w:val="ro-RO"/>
        </w:rPr>
        <w:t>ț</w:t>
      </w:r>
      <w:r w:rsidRPr="00B54523">
        <w:rPr>
          <w:rFonts w:asciiTheme="minorHAnsi" w:hAnsiTheme="minorHAnsi"/>
          <w:sz w:val="22"/>
          <w:szCs w:val="22"/>
          <w:lang w:val="ro-RO"/>
        </w:rPr>
        <w:t>ionare este mai redus</w:t>
      </w:r>
      <w:r w:rsidR="00E7642F" w:rsidRPr="00B54523">
        <w:rPr>
          <w:rFonts w:asciiTheme="minorHAnsi" w:hAnsiTheme="minorHAnsi"/>
          <w:sz w:val="22"/>
          <w:szCs w:val="22"/>
          <w:lang w:val="ro-RO"/>
        </w:rPr>
        <w:t>ă</w:t>
      </w:r>
      <w:r w:rsidRPr="00B54523">
        <w:rPr>
          <w:rFonts w:asciiTheme="minorHAnsi" w:hAnsiTheme="minorHAnsi"/>
          <w:sz w:val="22"/>
          <w:szCs w:val="22"/>
          <w:lang w:val="ro-RO"/>
        </w:rPr>
        <w:t xml:space="preserve"> dec</w:t>
      </w:r>
      <w:r w:rsidR="00E7642F" w:rsidRPr="00B54523">
        <w:rPr>
          <w:rFonts w:asciiTheme="minorHAnsi" w:hAnsiTheme="minorHAnsi"/>
          <w:sz w:val="22"/>
          <w:szCs w:val="22"/>
          <w:lang w:val="ro-RO"/>
        </w:rPr>
        <w:t>â</w:t>
      </w:r>
      <w:r w:rsidRPr="00B54523">
        <w:rPr>
          <w:rFonts w:asciiTheme="minorHAnsi" w:hAnsiTheme="minorHAnsi"/>
          <w:sz w:val="22"/>
          <w:szCs w:val="22"/>
          <w:lang w:val="ro-RO"/>
        </w:rPr>
        <w:t>t durata de via</w:t>
      </w:r>
      <w:r w:rsidR="00E7642F" w:rsidRPr="00B54523">
        <w:rPr>
          <w:rFonts w:asciiTheme="minorHAnsi" w:hAnsiTheme="minorHAnsi"/>
          <w:sz w:val="22"/>
          <w:szCs w:val="22"/>
          <w:lang w:val="ro-RO"/>
        </w:rPr>
        <w:t>ță</w:t>
      </w:r>
      <w:r w:rsidRPr="00B54523">
        <w:rPr>
          <w:rFonts w:asciiTheme="minorHAnsi" w:hAnsiTheme="minorHAnsi"/>
          <w:sz w:val="22"/>
          <w:szCs w:val="22"/>
          <w:lang w:val="ro-RO"/>
        </w:rPr>
        <w:t xml:space="preserve"> fizic</w:t>
      </w:r>
      <w:r w:rsidR="00E7642F" w:rsidRPr="00B54523">
        <w:rPr>
          <w:rFonts w:asciiTheme="minorHAnsi" w:hAnsiTheme="minorHAnsi"/>
          <w:sz w:val="22"/>
          <w:szCs w:val="22"/>
          <w:lang w:val="ro-RO"/>
        </w:rPr>
        <w:t>ă</w:t>
      </w:r>
      <w:r w:rsidRPr="00B54523">
        <w:rPr>
          <w:rFonts w:asciiTheme="minorHAnsi" w:hAnsiTheme="minorHAnsi"/>
          <w:sz w:val="22"/>
          <w:szCs w:val="22"/>
          <w:lang w:val="ro-RO"/>
        </w:rPr>
        <w:t xml:space="preserve"> a mijlocului fix respectiv. </w:t>
      </w:r>
    </w:p>
    <w:p w14:paraId="1815B52D" w14:textId="13D439B8" w:rsidR="00510854" w:rsidRPr="00B54523" w:rsidRDefault="00510854" w:rsidP="009D6B67">
      <w:pPr>
        <w:jc w:val="both"/>
        <w:rPr>
          <w:rStyle w:val="Strong"/>
          <w:rFonts w:asciiTheme="minorHAnsi" w:hAnsiTheme="minorHAnsi"/>
          <w:color w:val="000000"/>
          <w:sz w:val="12"/>
          <w:szCs w:val="12"/>
          <w:bdr w:val="none" w:sz="0" w:space="0" w:color="auto" w:frame="1"/>
          <w:shd w:val="clear" w:color="auto" w:fill="FFFFFF"/>
          <w:lang w:val="ro-RO"/>
        </w:rPr>
      </w:pPr>
    </w:p>
    <w:p w14:paraId="100C7B53" w14:textId="18CBA9F2" w:rsidR="00FC7275" w:rsidRDefault="00FC7275" w:rsidP="009D6B67">
      <w:pPr>
        <w:jc w:val="both"/>
        <w:rPr>
          <w:rFonts w:asciiTheme="minorHAnsi" w:hAnsiTheme="minorHAnsi"/>
          <w:sz w:val="22"/>
          <w:szCs w:val="22"/>
          <w:lang w:val="ro-RO"/>
        </w:rPr>
      </w:pPr>
      <w:r w:rsidRPr="00B54523">
        <w:rPr>
          <w:rFonts w:asciiTheme="minorHAnsi" w:hAnsiTheme="minorHAnsi"/>
          <w:sz w:val="22"/>
          <w:szCs w:val="22"/>
          <w:lang w:val="ro-RO"/>
        </w:rPr>
        <w:t xml:space="preserve">Astfel, prin </w:t>
      </w:r>
      <w:r w:rsidRPr="00496F95">
        <w:rPr>
          <w:rFonts w:asciiTheme="minorHAnsi" w:hAnsiTheme="minorHAnsi"/>
          <w:sz w:val="22"/>
          <w:szCs w:val="22"/>
          <w:u w:val="single"/>
          <w:lang w:val="ro-RO"/>
        </w:rPr>
        <w:t>Comunicarea C</w:t>
      </w:r>
      <w:r w:rsidR="00D567A3" w:rsidRPr="00496F95">
        <w:rPr>
          <w:rFonts w:asciiTheme="minorHAnsi" w:hAnsiTheme="minorHAnsi"/>
          <w:sz w:val="22"/>
          <w:szCs w:val="22"/>
          <w:u w:val="single"/>
          <w:lang w:val="ro-RO"/>
        </w:rPr>
        <w:t>omisiei</w:t>
      </w:r>
      <w:r w:rsidRPr="00496F95">
        <w:rPr>
          <w:rFonts w:asciiTheme="minorHAnsi" w:hAnsiTheme="minorHAnsi"/>
          <w:sz w:val="22"/>
          <w:szCs w:val="22"/>
          <w:u w:val="single"/>
          <w:lang w:val="ro-RO"/>
        </w:rPr>
        <w:t xml:space="preserve"> </w:t>
      </w:r>
      <w:r w:rsidR="00E87BBC" w:rsidRPr="00496F95">
        <w:rPr>
          <w:rFonts w:asciiTheme="minorHAnsi" w:hAnsiTheme="minorHAnsi"/>
          <w:sz w:val="22"/>
          <w:szCs w:val="22"/>
          <w:u w:val="single"/>
        </w:rPr>
        <w:t>“</w:t>
      </w:r>
      <w:r w:rsidR="00E87BBC" w:rsidRPr="00496F95">
        <w:rPr>
          <w:rFonts w:asciiTheme="minorHAnsi" w:hAnsiTheme="minorHAnsi"/>
          <w:sz w:val="22"/>
          <w:szCs w:val="22"/>
          <w:u w:val="single"/>
          <w:lang w:val="ro-RO"/>
        </w:rPr>
        <w:t xml:space="preserve">Orientări </w:t>
      </w:r>
      <w:r w:rsidRPr="00496F95">
        <w:rPr>
          <w:rFonts w:asciiTheme="minorHAnsi" w:hAnsiTheme="minorHAnsi"/>
          <w:sz w:val="22"/>
          <w:szCs w:val="22"/>
          <w:u w:val="single"/>
          <w:lang w:val="ro-RO"/>
        </w:rPr>
        <w:t>tehnice referitoare la imunizarea infrastructurii la schimbările climatice în perioada 2021-2027</w:t>
      </w:r>
      <w:r w:rsidR="00E87BBC" w:rsidRPr="00496F95">
        <w:rPr>
          <w:rFonts w:asciiTheme="minorHAnsi" w:hAnsiTheme="minorHAnsi"/>
          <w:sz w:val="22"/>
          <w:szCs w:val="22"/>
          <w:u w:val="single"/>
          <w:lang w:val="ro-RO"/>
        </w:rPr>
        <w:t>”</w:t>
      </w:r>
      <w:r w:rsidRPr="00496F95">
        <w:rPr>
          <w:rFonts w:asciiTheme="minorHAnsi" w:hAnsiTheme="minorHAnsi"/>
          <w:sz w:val="22"/>
          <w:szCs w:val="22"/>
          <w:u w:val="single"/>
          <w:lang w:val="ro-RO"/>
        </w:rPr>
        <w:t xml:space="preserve"> (2021/C 373/01)</w:t>
      </w:r>
      <w:r w:rsidRPr="00B54523">
        <w:rPr>
          <w:rFonts w:asciiTheme="minorHAnsi" w:hAnsiTheme="minorHAnsi"/>
          <w:sz w:val="22"/>
          <w:szCs w:val="22"/>
          <w:lang w:val="ro-RO"/>
        </w:rPr>
        <w:t xml:space="preserve"> infrastructura poate include, printre altele:</w:t>
      </w:r>
    </w:p>
    <w:p w14:paraId="28DDF063" w14:textId="77777777" w:rsidR="00C441A9" w:rsidRPr="00B54523" w:rsidRDefault="00C441A9" w:rsidP="009D6B67">
      <w:pPr>
        <w:jc w:val="both"/>
        <w:rPr>
          <w:rFonts w:asciiTheme="minorHAnsi" w:hAnsiTheme="minorHAnsi"/>
          <w:b/>
          <w:bCs/>
          <w:sz w:val="22"/>
          <w:szCs w:val="22"/>
          <w:lang w:val="ro-RO"/>
        </w:rPr>
      </w:pPr>
    </w:p>
    <w:p w14:paraId="407C1692" w14:textId="091AC850" w:rsidR="00FC7275" w:rsidRPr="00B54523" w:rsidRDefault="00FC7275" w:rsidP="009D6B67">
      <w:pPr>
        <w:pStyle w:val="ListParagraph"/>
        <w:numPr>
          <w:ilvl w:val="0"/>
          <w:numId w:val="3"/>
        </w:numPr>
        <w:jc w:val="both"/>
        <w:rPr>
          <w:rFonts w:asciiTheme="minorHAnsi" w:hAnsiTheme="minorHAnsi"/>
          <w:b/>
          <w:bCs/>
          <w:sz w:val="22"/>
          <w:szCs w:val="22"/>
          <w:lang w:val="ro-RO"/>
        </w:rPr>
      </w:pPr>
      <w:r w:rsidRPr="00B54523">
        <w:rPr>
          <w:rFonts w:asciiTheme="minorHAnsi" w:hAnsiTheme="minorHAnsi"/>
          <w:sz w:val="22"/>
          <w:szCs w:val="22"/>
          <w:lang w:val="ro-RO"/>
        </w:rPr>
        <w:t xml:space="preserve">clădiri, de la locuințe private până la școli sau instalații industriale, care reprezintă cel mai frecvent tip de infrastructură și baza pentru așezările umane; </w:t>
      </w:r>
    </w:p>
    <w:p w14:paraId="7B124323" w14:textId="4456DFEF" w:rsidR="000A727D" w:rsidRPr="00B54523" w:rsidRDefault="00FC7275" w:rsidP="009D6B67">
      <w:pPr>
        <w:pStyle w:val="ListParagraph"/>
        <w:numPr>
          <w:ilvl w:val="0"/>
          <w:numId w:val="3"/>
        </w:numPr>
        <w:jc w:val="both"/>
        <w:rPr>
          <w:rFonts w:asciiTheme="minorHAnsi" w:hAnsiTheme="minorHAnsi"/>
          <w:b/>
          <w:bCs/>
          <w:sz w:val="22"/>
          <w:szCs w:val="22"/>
          <w:lang w:val="ro-RO"/>
        </w:rPr>
      </w:pPr>
      <w:r w:rsidRPr="00B54523">
        <w:rPr>
          <w:rFonts w:asciiTheme="minorHAnsi" w:hAnsiTheme="minorHAnsi"/>
          <w:sz w:val="22"/>
          <w:szCs w:val="22"/>
          <w:lang w:val="ro-RO"/>
        </w:rPr>
        <w:t>infrastructuri bazate pe natură, cum ar fi acoperișuri verzi, pereț</w:t>
      </w:r>
      <w:r w:rsidR="00496F95">
        <w:rPr>
          <w:rFonts w:asciiTheme="minorHAnsi" w:hAnsiTheme="minorHAnsi"/>
          <w:sz w:val="22"/>
          <w:szCs w:val="22"/>
          <w:lang w:val="ro-RO"/>
        </w:rPr>
        <w:t>i, spații și sisteme de drenaj;</w:t>
      </w:r>
      <w:r w:rsidRPr="00B54523">
        <w:rPr>
          <w:rFonts w:asciiTheme="minorHAnsi" w:hAnsiTheme="minorHAnsi"/>
          <w:sz w:val="22"/>
          <w:szCs w:val="22"/>
          <w:lang w:val="ro-RO"/>
        </w:rPr>
        <w:t xml:space="preserve"> </w:t>
      </w:r>
    </w:p>
    <w:p w14:paraId="469D5B34" w14:textId="43F094E3" w:rsidR="00FC7275" w:rsidRPr="00B54523" w:rsidRDefault="00FC7275" w:rsidP="009D6B67">
      <w:pPr>
        <w:pStyle w:val="ListParagraph"/>
        <w:numPr>
          <w:ilvl w:val="0"/>
          <w:numId w:val="3"/>
        </w:numPr>
        <w:jc w:val="both"/>
        <w:rPr>
          <w:rFonts w:asciiTheme="minorHAnsi" w:hAnsiTheme="minorHAnsi"/>
          <w:b/>
          <w:bCs/>
          <w:sz w:val="22"/>
          <w:szCs w:val="22"/>
          <w:lang w:val="ro-RO"/>
        </w:rPr>
      </w:pPr>
      <w:r w:rsidRPr="00B54523">
        <w:rPr>
          <w:rFonts w:asciiTheme="minorHAnsi" w:hAnsiTheme="minorHAnsi"/>
          <w:sz w:val="22"/>
          <w:szCs w:val="22"/>
          <w:lang w:val="ro-RO"/>
        </w:rPr>
        <w:t>infrastructura de rețea esențială pentru funcționarea economiei și a societății actuale, în special infrastructura energetică (de exemplu, rețele, centrale electrice, conducte), transporturile (active fixe precum drumuri, căi ferate, porturi, aeroporturi sau infrastructura de transport pe căile navigabile interioare), tehnologiile informației și comunicațiilor (de exemplu, rețele de telefonie mobilă, cabluri de date, centre de date) și apa (de exemplu, conducte de alimentare cu apă, rezervoare, instalații de tratare a apelor reziduale);</w:t>
      </w:r>
    </w:p>
    <w:p w14:paraId="03CA6979" w14:textId="35ED455D" w:rsidR="00FC7275" w:rsidRPr="00B54523" w:rsidRDefault="00FC7275" w:rsidP="009D6B67">
      <w:pPr>
        <w:pStyle w:val="ListParagraph"/>
        <w:numPr>
          <w:ilvl w:val="0"/>
          <w:numId w:val="3"/>
        </w:numPr>
        <w:jc w:val="both"/>
        <w:rPr>
          <w:rFonts w:asciiTheme="minorHAnsi" w:hAnsiTheme="minorHAnsi"/>
          <w:b/>
          <w:bCs/>
          <w:sz w:val="22"/>
          <w:szCs w:val="22"/>
          <w:lang w:val="ro-RO"/>
        </w:rPr>
      </w:pPr>
      <w:r w:rsidRPr="00B54523">
        <w:rPr>
          <w:rFonts w:asciiTheme="minorHAnsi" w:hAnsiTheme="minorHAnsi"/>
          <w:sz w:val="22"/>
          <w:szCs w:val="22"/>
          <w:lang w:val="ro-RO"/>
        </w:rPr>
        <w:t xml:space="preserve">sisteme de gestionare a deșeurilor generate de întreprinderi și gospodării (puncte de colectare, instalații de sortare și reciclare, incineratoare și depozite de deșeuri); </w:t>
      </w:r>
    </w:p>
    <w:p w14:paraId="49718538" w14:textId="7EFCA7A0" w:rsidR="00FC7275" w:rsidRPr="00B54523" w:rsidRDefault="00FC7275" w:rsidP="009D6B67">
      <w:pPr>
        <w:pStyle w:val="ListParagraph"/>
        <w:numPr>
          <w:ilvl w:val="0"/>
          <w:numId w:val="3"/>
        </w:numPr>
        <w:jc w:val="both"/>
        <w:rPr>
          <w:rFonts w:asciiTheme="minorHAnsi" w:hAnsiTheme="minorHAnsi"/>
          <w:b/>
          <w:bCs/>
          <w:sz w:val="22"/>
          <w:szCs w:val="22"/>
          <w:lang w:val="ro-RO"/>
        </w:rPr>
      </w:pPr>
      <w:r w:rsidRPr="00B54523">
        <w:rPr>
          <w:rFonts w:asciiTheme="minorHAnsi" w:hAnsiTheme="minorHAnsi"/>
          <w:sz w:val="22"/>
          <w:szCs w:val="22"/>
          <w:lang w:val="ro-RO"/>
        </w:rPr>
        <w:t xml:space="preserve">alte active fizice dintr-o gamă mai largă de domenii de politică, inclusiv comunicațiile, serviciile de urgență, energia, finanțele, alimentele, administrația publică, sănătatea, educația și formarea, cercetarea, protecția civilă, transporturile și deșeurile sau apa; </w:t>
      </w:r>
    </w:p>
    <w:p w14:paraId="08774FBF" w14:textId="0A9F9460" w:rsidR="00FC7275" w:rsidRPr="00B54523" w:rsidRDefault="00FC7275" w:rsidP="009D6B67">
      <w:pPr>
        <w:pStyle w:val="ListParagraph"/>
        <w:numPr>
          <w:ilvl w:val="0"/>
          <w:numId w:val="3"/>
        </w:numPr>
        <w:jc w:val="both"/>
        <w:rPr>
          <w:rFonts w:asciiTheme="minorHAnsi" w:hAnsiTheme="minorHAnsi"/>
          <w:b/>
          <w:bCs/>
          <w:sz w:val="22"/>
          <w:szCs w:val="22"/>
          <w:lang w:val="ro-RO"/>
        </w:rPr>
      </w:pPr>
      <w:r w:rsidRPr="00B54523">
        <w:rPr>
          <w:rFonts w:asciiTheme="minorHAnsi" w:hAnsiTheme="minorHAnsi"/>
          <w:sz w:val="22"/>
          <w:szCs w:val="22"/>
          <w:lang w:val="ro-RO"/>
        </w:rPr>
        <w:t>alte tipuri de infrastructură eligibile în cadrul componentei de politică pentru infrastructura durabilă.</w:t>
      </w:r>
    </w:p>
    <w:p w14:paraId="3A0D1574" w14:textId="2045B5AD" w:rsidR="0041329B" w:rsidRPr="00B54523" w:rsidRDefault="00BB5A04" w:rsidP="009D6B67">
      <w:pPr>
        <w:pStyle w:val="Heading1"/>
        <w:numPr>
          <w:ilvl w:val="0"/>
          <w:numId w:val="8"/>
        </w:numPr>
        <w:jc w:val="both"/>
        <w:rPr>
          <w:rFonts w:asciiTheme="minorHAnsi" w:hAnsiTheme="minorHAnsi" w:cstheme="minorHAnsi"/>
          <w:sz w:val="22"/>
          <w:szCs w:val="22"/>
          <w:lang w:val="ro-RO"/>
        </w:rPr>
      </w:pPr>
      <w:bookmarkStart w:id="2" w:name="_Toc144910461"/>
      <w:r w:rsidRPr="00B54523">
        <w:rPr>
          <w:rFonts w:asciiTheme="minorHAnsi" w:hAnsiTheme="minorHAnsi" w:cstheme="minorHAnsi"/>
          <w:sz w:val="22"/>
          <w:szCs w:val="22"/>
          <w:lang w:val="ro-RO"/>
        </w:rPr>
        <w:t>Pilonii analizei procesului de imunizare la schimbările climatice</w:t>
      </w:r>
      <w:bookmarkEnd w:id="2"/>
    </w:p>
    <w:p w14:paraId="674B6770" w14:textId="77777777" w:rsidR="00BB5A04" w:rsidRPr="00B54523" w:rsidRDefault="00BB5A04" w:rsidP="009D6B67">
      <w:pPr>
        <w:jc w:val="both"/>
        <w:rPr>
          <w:rFonts w:asciiTheme="minorHAnsi" w:hAnsiTheme="minorHAnsi"/>
          <w:b/>
          <w:bCs/>
          <w:sz w:val="22"/>
          <w:szCs w:val="22"/>
          <w:lang w:val="ro-RO"/>
        </w:rPr>
      </w:pPr>
    </w:p>
    <w:p w14:paraId="46E30BC2" w14:textId="71FC5428" w:rsidR="00FA0E96" w:rsidRPr="00B54523" w:rsidRDefault="00BB5A04" w:rsidP="009D6B67">
      <w:pPr>
        <w:jc w:val="both"/>
        <w:rPr>
          <w:rFonts w:asciiTheme="minorHAnsi" w:hAnsiTheme="minorHAnsi"/>
          <w:b/>
          <w:bCs/>
          <w:sz w:val="22"/>
          <w:szCs w:val="22"/>
          <w:lang w:val="ro-RO"/>
        </w:rPr>
      </w:pPr>
      <w:r w:rsidRPr="00B54523">
        <w:rPr>
          <w:rFonts w:asciiTheme="minorHAnsi" w:hAnsiTheme="minorHAnsi"/>
          <w:sz w:val="22"/>
          <w:szCs w:val="22"/>
          <w:lang w:val="ro-RO"/>
        </w:rPr>
        <w:lastRenderedPageBreak/>
        <w:t>Procesul de imunizare la schimbările climatice cuprinde 2 piloni, cu corespondență în primele 2 subcriterii ale principiului DNSH:</w:t>
      </w:r>
    </w:p>
    <w:p w14:paraId="0E0774D5" w14:textId="16D89246" w:rsidR="00BB5A04" w:rsidRPr="00B54523" w:rsidRDefault="00064493" w:rsidP="009D6B67">
      <w:pPr>
        <w:pStyle w:val="ListParagraph"/>
        <w:numPr>
          <w:ilvl w:val="0"/>
          <w:numId w:val="18"/>
        </w:numPr>
        <w:jc w:val="both"/>
        <w:rPr>
          <w:rFonts w:asciiTheme="minorHAnsi" w:hAnsiTheme="minorHAnsi"/>
          <w:sz w:val="22"/>
          <w:szCs w:val="22"/>
          <w:lang w:val="ro-RO"/>
        </w:rPr>
      </w:pPr>
      <w:r w:rsidRPr="00B54523">
        <w:rPr>
          <w:rFonts w:asciiTheme="minorHAnsi" w:hAnsiTheme="minorHAnsi"/>
          <w:sz w:val="22"/>
          <w:szCs w:val="22"/>
          <w:lang w:val="ro-RO"/>
        </w:rPr>
        <w:t>neutralitatea climatică (</w:t>
      </w:r>
      <w:r w:rsidRPr="00194097">
        <w:rPr>
          <w:rFonts w:asciiTheme="minorHAnsi" w:hAnsiTheme="minorHAnsi"/>
          <w:i/>
          <w:sz w:val="22"/>
          <w:szCs w:val="22"/>
          <w:lang w:val="ro-RO"/>
        </w:rPr>
        <w:t>atenuarea schimbărilor climatice</w:t>
      </w:r>
      <w:r w:rsidRPr="00B54523">
        <w:rPr>
          <w:rFonts w:asciiTheme="minorHAnsi" w:hAnsiTheme="minorHAnsi"/>
          <w:sz w:val="22"/>
          <w:szCs w:val="22"/>
          <w:lang w:val="ro-RO"/>
        </w:rPr>
        <w:t>)</w:t>
      </w:r>
      <w:r w:rsidR="008C1229" w:rsidRPr="00B54523">
        <w:rPr>
          <w:rFonts w:asciiTheme="minorHAnsi" w:hAnsiTheme="minorHAnsi"/>
          <w:sz w:val="22"/>
          <w:szCs w:val="22"/>
          <w:lang w:val="ro-RO"/>
        </w:rPr>
        <w:t xml:space="preserve">                                                                                                                                                                                                                                                                                                                                                                                                                                                                                                                                                                                                                                                                                                                                                                                                                                                                                                                                                                                                                                                                                                                                                                                                                                                                                                                                                                                                                                                                                                                                                                                                                                                                                                                                                                                                                                                                                                                                                                                                                                                                                                                                                                                                                                                                                                                                                                                                                                                                                                                                                                                                                                                                                                                                                                                                                                                                                                                                                                                                                                                                                                               </w:t>
      </w:r>
      <w:r w:rsidR="001D7B4C" w:rsidRPr="00B54523">
        <w:rPr>
          <w:rFonts w:asciiTheme="minorHAnsi" w:hAnsiTheme="minorHAnsi"/>
          <w:sz w:val="22"/>
          <w:szCs w:val="22"/>
          <w:lang w:val="ro-RO"/>
        </w:rPr>
        <w:t xml:space="preserve">                                                                                                                                                                                                                                                                                                                                                                                                                                                                                                                                                                                                                                                                                                                                                                                                                                                                                                                                                                      </w:t>
      </w:r>
      <w:r w:rsidR="00BB5A04" w:rsidRPr="00B54523">
        <w:rPr>
          <w:rFonts w:asciiTheme="minorHAnsi" w:hAnsiTheme="minorHAnsi"/>
          <w:sz w:val="22"/>
          <w:szCs w:val="22"/>
          <w:lang w:val="ro-RO"/>
        </w:rPr>
        <w:t xml:space="preserve"> </w:t>
      </w:r>
    </w:p>
    <w:p w14:paraId="424FB0E2" w14:textId="664C2773" w:rsidR="00BB5A04" w:rsidRPr="00B54523" w:rsidRDefault="00BB5A04" w:rsidP="00C441A9">
      <w:pPr>
        <w:pStyle w:val="ListParagraph"/>
        <w:numPr>
          <w:ilvl w:val="0"/>
          <w:numId w:val="18"/>
        </w:numPr>
        <w:spacing w:after="0"/>
        <w:jc w:val="both"/>
        <w:rPr>
          <w:rFonts w:asciiTheme="minorHAnsi" w:hAnsiTheme="minorHAnsi"/>
          <w:sz w:val="22"/>
          <w:szCs w:val="22"/>
          <w:lang w:val="ro-RO"/>
        </w:rPr>
      </w:pPr>
      <w:r w:rsidRPr="00B54523">
        <w:rPr>
          <w:rFonts w:asciiTheme="minorHAnsi" w:hAnsiTheme="minorHAnsi"/>
          <w:sz w:val="22"/>
          <w:szCs w:val="22"/>
          <w:lang w:val="ro-RO"/>
        </w:rPr>
        <w:t>reziliența la schimbările climatice (</w:t>
      </w:r>
      <w:r w:rsidRPr="00194097">
        <w:rPr>
          <w:rFonts w:asciiTheme="minorHAnsi" w:hAnsiTheme="minorHAnsi"/>
          <w:i/>
          <w:sz w:val="22"/>
          <w:szCs w:val="22"/>
          <w:lang w:val="ro-RO"/>
        </w:rPr>
        <w:t>adaptarea la schimbările climatice</w:t>
      </w:r>
      <w:r w:rsidRPr="00B54523">
        <w:rPr>
          <w:rFonts w:asciiTheme="minorHAnsi" w:hAnsiTheme="minorHAnsi"/>
          <w:sz w:val="22"/>
          <w:szCs w:val="22"/>
          <w:lang w:val="ro-RO"/>
        </w:rPr>
        <w:t>)</w:t>
      </w:r>
      <w:r w:rsidR="00C441A9">
        <w:rPr>
          <w:rFonts w:asciiTheme="minorHAnsi" w:hAnsiTheme="minorHAnsi"/>
          <w:sz w:val="22"/>
          <w:szCs w:val="22"/>
          <w:lang w:val="ro-RO"/>
        </w:rPr>
        <w:t>.</w:t>
      </w:r>
    </w:p>
    <w:p w14:paraId="0A8ECEAF" w14:textId="10500C9A" w:rsidR="00BE297F" w:rsidRPr="00B54523" w:rsidRDefault="00BB5A04" w:rsidP="009D6B67">
      <w:pPr>
        <w:jc w:val="both"/>
        <w:rPr>
          <w:rFonts w:asciiTheme="minorHAnsi" w:hAnsiTheme="minorHAnsi"/>
          <w:b/>
          <w:bCs/>
          <w:sz w:val="22"/>
          <w:szCs w:val="22"/>
          <w:lang w:val="ro-RO"/>
        </w:rPr>
      </w:pPr>
      <w:r w:rsidRPr="00B54523">
        <w:rPr>
          <w:rFonts w:asciiTheme="minorHAnsi" w:hAnsiTheme="minorHAnsi"/>
          <w:sz w:val="22"/>
          <w:szCs w:val="22"/>
          <w:lang w:val="ro-RO"/>
        </w:rPr>
        <w:t xml:space="preserve">Fiecare dintre cei doi piloni cuprinde două etape. Prima etapă este cea de examinare, iar rezultatul </w:t>
      </w:r>
      <w:r w:rsidR="00E33D05" w:rsidRPr="00D04912">
        <w:rPr>
          <w:rFonts w:asciiTheme="minorHAnsi" w:hAnsiTheme="minorHAnsi"/>
          <w:sz w:val="22"/>
          <w:szCs w:val="22"/>
          <w:lang w:val="ro-RO"/>
        </w:rPr>
        <w:t xml:space="preserve">acesteia </w:t>
      </w:r>
      <w:r w:rsidRPr="00B54523">
        <w:rPr>
          <w:rFonts w:asciiTheme="minorHAnsi" w:hAnsiTheme="minorHAnsi"/>
          <w:sz w:val="22"/>
          <w:szCs w:val="22"/>
          <w:lang w:val="ro-RO"/>
        </w:rPr>
        <w:t>determină dacă este necesar să fie efectuată a doua etapă de analiză detaliată.</w:t>
      </w:r>
    </w:p>
    <w:p w14:paraId="5FF0497D" w14:textId="0627050A" w:rsidR="00BB5A04" w:rsidRPr="00B54523" w:rsidRDefault="00BB5A04" w:rsidP="009D6B67">
      <w:pPr>
        <w:pStyle w:val="Heading1"/>
        <w:numPr>
          <w:ilvl w:val="0"/>
          <w:numId w:val="8"/>
        </w:numPr>
        <w:jc w:val="both"/>
        <w:rPr>
          <w:rFonts w:asciiTheme="minorHAnsi" w:hAnsiTheme="minorHAnsi" w:cstheme="minorHAnsi"/>
          <w:sz w:val="22"/>
          <w:szCs w:val="22"/>
          <w:lang w:val="ro-RO"/>
        </w:rPr>
      </w:pPr>
      <w:bookmarkStart w:id="3" w:name="_Toc144910462"/>
      <w:r w:rsidRPr="00B54523">
        <w:rPr>
          <w:rFonts w:asciiTheme="minorHAnsi" w:hAnsiTheme="minorHAnsi" w:cstheme="minorHAnsi"/>
          <w:sz w:val="22"/>
          <w:szCs w:val="22"/>
          <w:lang w:val="ro-RO"/>
        </w:rPr>
        <w:t>Etapele analizei procesului de imunizare la schimbările climatice</w:t>
      </w:r>
      <w:bookmarkEnd w:id="3"/>
    </w:p>
    <w:p w14:paraId="1C701333" w14:textId="77777777" w:rsidR="00734948" w:rsidRPr="00B54523" w:rsidRDefault="00734948" w:rsidP="009D6B67">
      <w:pPr>
        <w:jc w:val="both"/>
        <w:rPr>
          <w:rFonts w:asciiTheme="minorHAnsi" w:hAnsiTheme="minorHAnsi"/>
          <w:b/>
          <w:bCs/>
          <w:sz w:val="22"/>
          <w:szCs w:val="22"/>
          <w:lang w:val="ro-RO"/>
        </w:rPr>
      </w:pPr>
    </w:p>
    <w:p w14:paraId="445778A9" w14:textId="6ABCC12F" w:rsidR="00C441A9" w:rsidRPr="00B54523" w:rsidRDefault="00BB5A04" w:rsidP="009D6B67">
      <w:pPr>
        <w:jc w:val="both"/>
        <w:rPr>
          <w:rFonts w:asciiTheme="minorHAnsi" w:hAnsiTheme="minorHAnsi"/>
          <w:b/>
          <w:bCs/>
          <w:sz w:val="22"/>
          <w:szCs w:val="22"/>
          <w:lang w:val="ro-RO"/>
        </w:rPr>
      </w:pPr>
      <w:r w:rsidRPr="00B54523">
        <w:rPr>
          <w:rFonts w:asciiTheme="minorHAnsi" w:hAnsiTheme="minorHAnsi"/>
          <w:sz w:val="22"/>
          <w:szCs w:val="22"/>
          <w:lang w:val="ro-RO"/>
        </w:rPr>
        <w:t>Etapele procesului de analiza pentru imunizarea la schimbările climatice pot fi rezumat</w:t>
      </w:r>
      <w:r w:rsidR="00C441A9">
        <w:rPr>
          <w:rFonts w:asciiTheme="minorHAnsi" w:hAnsiTheme="minorHAnsi"/>
          <w:sz w:val="22"/>
          <w:szCs w:val="22"/>
          <w:lang w:val="ro-RO"/>
        </w:rPr>
        <w:t xml:space="preserve">e conform figurii de mai jos – </w:t>
      </w:r>
      <w:r w:rsidRPr="00B54523">
        <w:rPr>
          <w:rFonts w:asciiTheme="minorHAnsi" w:hAnsiTheme="minorHAnsi"/>
          <w:sz w:val="22"/>
          <w:szCs w:val="22"/>
          <w:lang w:val="ro-RO"/>
        </w:rPr>
        <w:t>preluată</w:t>
      </w:r>
      <w:r w:rsidR="00C441A9">
        <w:rPr>
          <w:rFonts w:asciiTheme="minorHAnsi" w:hAnsiTheme="minorHAnsi"/>
          <w:sz w:val="22"/>
          <w:szCs w:val="22"/>
          <w:lang w:val="ro-RO"/>
        </w:rPr>
        <w:t xml:space="preserve"> </w:t>
      </w:r>
      <w:r w:rsidRPr="00B54523">
        <w:rPr>
          <w:rFonts w:asciiTheme="minorHAnsi" w:hAnsiTheme="minorHAnsi"/>
          <w:sz w:val="22"/>
          <w:szCs w:val="22"/>
          <w:lang w:val="ro-RO"/>
        </w:rPr>
        <w:t xml:space="preserve">din </w:t>
      </w:r>
      <w:r w:rsidRPr="00C441A9">
        <w:rPr>
          <w:rFonts w:asciiTheme="minorHAnsi" w:hAnsiTheme="minorHAnsi"/>
          <w:b/>
          <w:sz w:val="22"/>
          <w:szCs w:val="22"/>
          <w:lang w:val="ro-RO"/>
        </w:rPr>
        <w:t>Comunicarea C</w:t>
      </w:r>
      <w:r w:rsidR="00C441A9" w:rsidRPr="00C441A9">
        <w:rPr>
          <w:rFonts w:asciiTheme="minorHAnsi" w:hAnsiTheme="minorHAnsi"/>
          <w:b/>
          <w:sz w:val="22"/>
          <w:szCs w:val="22"/>
          <w:lang w:val="ro-RO"/>
        </w:rPr>
        <w:t>omisiei</w:t>
      </w:r>
      <w:r w:rsidRPr="00C441A9">
        <w:rPr>
          <w:rFonts w:asciiTheme="minorHAnsi" w:hAnsiTheme="minorHAnsi"/>
          <w:b/>
          <w:sz w:val="22"/>
          <w:szCs w:val="22"/>
          <w:lang w:val="ro-RO"/>
        </w:rPr>
        <w:t xml:space="preserve"> </w:t>
      </w:r>
      <w:r w:rsidR="00C441A9" w:rsidRPr="00C441A9">
        <w:rPr>
          <w:rFonts w:asciiTheme="minorHAnsi" w:hAnsiTheme="minorHAnsi"/>
          <w:b/>
          <w:sz w:val="22"/>
          <w:szCs w:val="22"/>
          <w:lang w:val="ro-RO"/>
        </w:rPr>
        <w:t>„</w:t>
      </w:r>
      <w:r w:rsidRPr="00C441A9">
        <w:rPr>
          <w:rFonts w:asciiTheme="minorHAnsi" w:hAnsiTheme="minorHAnsi"/>
          <w:b/>
          <w:sz w:val="22"/>
          <w:szCs w:val="22"/>
          <w:lang w:val="ro-RO"/>
        </w:rPr>
        <w:t>Orientăriltehnice referitoare la imunizarea infrastructurii la schimbările climatice în perioada 2021-2027</w:t>
      </w:r>
      <w:r w:rsidR="00C441A9" w:rsidRPr="00C441A9">
        <w:rPr>
          <w:rFonts w:asciiTheme="minorHAnsi" w:hAnsiTheme="minorHAnsi"/>
          <w:b/>
          <w:sz w:val="22"/>
          <w:szCs w:val="22"/>
          <w:lang w:val="ro-RO"/>
        </w:rPr>
        <w:t>”</w:t>
      </w:r>
      <w:r w:rsidRPr="00C441A9">
        <w:rPr>
          <w:rFonts w:asciiTheme="minorHAnsi" w:hAnsiTheme="minorHAnsi"/>
          <w:b/>
          <w:sz w:val="22"/>
          <w:szCs w:val="22"/>
          <w:lang w:val="ro-RO"/>
        </w:rPr>
        <w:t xml:space="preserve"> (2021/C 373/01)</w:t>
      </w:r>
      <w:r w:rsidRPr="00B54523">
        <w:rPr>
          <w:rFonts w:asciiTheme="minorHAnsi" w:hAnsiTheme="minorHAnsi"/>
          <w:sz w:val="22"/>
          <w:szCs w:val="22"/>
          <w:lang w:val="ro-RO"/>
        </w:rPr>
        <w:t>:</w:t>
      </w:r>
    </w:p>
    <w:p w14:paraId="45B84120" w14:textId="1593DD14" w:rsidR="00BB5A04" w:rsidRPr="00B54523" w:rsidRDefault="00C226B9" w:rsidP="009D6B67">
      <w:pPr>
        <w:jc w:val="both"/>
        <w:rPr>
          <w:rFonts w:asciiTheme="minorHAnsi" w:hAnsiTheme="minorHAnsi"/>
          <w:b/>
          <w:bCs/>
          <w:sz w:val="22"/>
          <w:szCs w:val="22"/>
          <w:lang w:val="ro-RO"/>
        </w:rPr>
      </w:pPr>
      <w:r w:rsidRPr="00B54523">
        <w:rPr>
          <w:rFonts w:asciiTheme="minorHAnsi" w:hAnsiTheme="minorHAnsi"/>
          <w:noProof/>
          <w:sz w:val="22"/>
          <w:szCs w:val="22"/>
        </w:rPr>
        <w:drawing>
          <wp:inline distT="0" distB="0" distL="0" distR="0" wp14:anchorId="6494FBBD" wp14:editId="7DB487D5">
            <wp:extent cx="6188659" cy="5504156"/>
            <wp:effectExtent l="0" t="0" r="3175" b="1905"/>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png"/>
                    <pic:cNvPicPr>
                      <a:picLocks noChangeAspect="1"/>
                    </pic:cNvPicPr>
                  </pic:nvPicPr>
                  <pic:blipFill>
                    <a:blip r:embed="rId8" cstate="print"/>
                    <a:stretch>
                      <a:fillRect/>
                    </a:stretch>
                  </pic:blipFill>
                  <pic:spPr>
                    <a:xfrm>
                      <a:off x="0" y="0"/>
                      <a:ext cx="6193815" cy="5508742"/>
                    </a:xfrm>
                    <a:prstGeom prst="rect">
                      <a:avLst/>
                    </a:prstGeom>
                  </pic:spPr>
                </pic:pic>
              </a:graphicData>
            </a:graphic>
          </wp:inline>
        </w:drawing>
      </w:r>
    </w:p>
    <w:p w14:paraId="3308AA83" w14:textId="77777777" w:rsidR="00C441A9" w:rsidRDefault="00C441A9" w:rsidP="00C441A9">
      <w:pPr>
        <w:jc w:val="both"/>
        <w:rPr>
          <w:rFonts w:asciiTheme="minorHAnsi" w:hAnsiTheme="minorHAnsi"/>
          <w:sz w:val="22"/>
          <w:szCs w:val="22"/>
          <w:u w:val="single"/>
          <w:lang w:val="ro-RO"/>
        </w:rPr>
      </w:pPr>
    </w:p>
    <w:p w14:paraId="0B94DB16" w14:textId="193740F6" w:rsidR="003F3E11" w:rsidRDefault="00876464" w:rsidP="00C441A9">
      <w:pPr>
        <w:jc w:val="both"/>
        <w:rPr>
          <w:rFonts w:asciiTheme="minorHAnsi" w:hAnsiTheme="minorHAnsi"/>
          <w:b/>
          <w:sz w:val="22"/>
          <w:szCs w:val="22"/>
          <w:u w:val="single"/>
          <w:lang w:val="ro-RO"/>
        </w:rPr>
      </w:pPr>
      <w:r w:rsidRPr="00C441A9">
        <w:rPr>
          <w:rFonts w:asciiTheme="minorHAnsi" w:hAnsiTheme="minorHAnsi"/>
          <w:b/>
          <w:sz w:val="22"/>
          <w:szCs w:val="22"/>
          <w:u w:val="single"/>
          <w:lang w:val="ro-RO"/>
        </w:rPr>
        <w:t xml:space="preserve">Pentru detalii legate de etapele mai sus menționate </w:t>
      </w:r>
      <w:r w:rsidR="00C441A9" w:rsidRPr="00C441A9">
        <w:rPr>
          <w:rFonts w:asciiTheme="minorHAnsi" w:hAnsiTheme="minorHAnsi"/>
          <w:b/>
          <w:sz w:val="22"/>
          <w:szCs w:val="22"/>
          <w:u w:val="single"/>
          <w:lang w:val="ro-RO"/>
        </w:rPr>
        <w:t>este necesar a se</w:t>
      </w:r>
      <w:r w:rsidRPr="00C441A9">
        <w:rPr>
          <w:rFonts w:asciiTheme="minorHAnsi" w:hAnsiTheme="minorHAnsi"/>
          <w:b/>
          <w:sz w:val="22"/>
          <w:szCs w:val="22"/>
          <w:u w:val="single"/>
          <w:lang w:val="ro-RO"/>
        </w:rPr>
        <w:t xml:space="preserve"> consulta </w:t>
      </w:r>
      <w:r w:rsidR="00C441A9" w:rsidRPr="00C441A9">
        <w:rPr>
          <w:rFonts w:asciiTheme="minorHAnsi" w:hAnsiTheme="minorHAnsi"/>
          <w:b/>
          <w:sz w:val="22"/>
          <w:szCs w:val="22"/>
          <w:u w:val="single"/>
          <w:lang w:val="ro-RO"/>
        </w:rPr>
        <w:t>Comunicarea COM</w:t>
      </w:r>
      <w:r w:rsidRPr="00C441A9">
        <w:rPr>
          <w:rFonts w:asciiTheme="minorHAnsi" w:hAnsiTheme="minorHAnsi"/>
          <w:b/>
          <w:sz w:val="22"/>
          <w:szCs w:val="22"/>
          <w:u w:val="single"/>
          <w:lang w:val="ro-RO"/>
        </w:rPr>
        <w:t xml:space="preserve"> </w:t>
      </w:r>
      <w:r w:rsidR="00C441A9" w:rsidRPr="002F6C85">
        <w:rPr>
          <w:rFonts w:asciiTheme="minorHAnsi" w:hAnsiTheme="minorHAnsi"/>
          <w:b/>
          <w:sz w:val="22"/>
          <w:szCs w:val="22"/>
          <w:u w:val="single"/>
          <w:lang w:val="ro-RO"/>
        </w:rPr>
        <w:t>nr.2021/C 373/01</w:t>
      </w:r>
      <w:r w:rsidRPr="002F6C85">
        <w:rPr>
          <w:rFonts w:asciiTheme="minorHAnsi" w:hAnsiTheme="minorHAnsi"/>
          <w:b/>
          <w:sz w:val="22"/>
          <w:szCs w:val="22"/>
          <w:u w:val="single"/>
          <w:lang w:val="ro-RO"/>
        </w:rPr>
        <w:t>.</w:t>
      </w:r>
      <w:bookmarkStart w:id="4" w:name="_Toc144910463"/>
    </w:p>
    <w:p w14:paraId="01ECCC90" w14:textId="77777777" w:rsidR="000A320D" w:rsidRPr="00E042F8" w:rsidRDefault="000A320D" w:rsidP="000A320D">
      <w:pPr>
        <w:pStyle w:val="Heading1"/>
        <w:jc w:val="center"/>
        <w:rPr>
          <w:rFonts w:asciiTheme="minorHAnsi" w:hAnsiTheme="minorHAnsi" w:cstheme="minorHAnsi"/>
          <w:b/>
          <w:sz w:val="22"/>
          <w:szCs w:val="22"/>
          <w:lang w:val="ro-RO"/>
        </w:rPr>
      </w:pPr>
      <w:r w:rsidRPr="00E042F8">
        <w:rPr>
          <w:rFonts w:asciiTheme="minorHAnsi" w:hAnsiTheme="minorHAnsi" w:cstheme="minorHAnsi"/>
          <w:b/>
          <w:sz w:val="22"/>
          <w:szCs w:val="22"/>
          <w:lang w:val="ro-RO"/>
        </w:rPr>
        <w:lastRenderedPageBreak/>
        <w:t>RAPOR</w:t>
      </w:r>
      <w:r w:rsidRPr="00D04912">
        <w:rPr>
          <w:rFonts w:asciiTheme="minorHAnsi" w:hAnsiTheme="minorHAnsi" w:cstheme="minorHAnsi"/>
          <w:b/>
          <w:color w:val="1F4E79" w:themeColor="accent5" w:themeShade="80"/>
          <w:sz w:val="22"/>
          <w:szCs w:val="22"/>
          <w:lang w:val="ro-RO"/>
        </w:rPr>
        <w:t>TUL</w:t>
      </w:r>
      <w:r w:rsidRPr="00E042F8">
        <w:rPr>
          <w:rFonts w:asciiTheme="minorHAnsi" w:hAnsiTheme="minorHAnsi" w:cstheme="minorHAnsi"/>
          <w:b/>
          <w:sz w:val="22"/>
          <w:szCs w:val="22"/>
          <w:lang w:val="ro-RO"/>
        </w:rPr>
        <w:t xml:space="preserve"> PRIVIND IMUNIZAREA LA SCHIMBĂRILE CLIMATICE</w:t>
      </w:r>
    </w:p>
    <w:p w14:paraId="747065E2" w14:textId="77777777" w:rsidR="000A320D" w:rsidRPr="00B54523" w:rsidRDefault="000A320D" w:rsidP="000A320D">
      <w:pPr>
        <w:pStyle w:val="Heading1"/>
        <w:numPr>
          <w:ilvl w:val="0"/>
          <w:numId w:val="10"/>
        </w:numPr>
        <w:jc w:val="both"/>
        <w:rPr>
          <w:rStyle w:val="IntenseEmphasis"/>
          <w:rFonts w:asciiTheme="minorHAnsi" w:hAnsiTheme="minorHAnsi" w:cstheme="minorHAnsi"/>
          <w:i w:val="0"/>
          <w:iCs w:val="0"/>
          <w:sz w:val="22"/>
          <w:szCs w:val="22"/>
          <w:lang w:val="ro-RO"/>
        </w:rPr>
      </w:pPr>
      <w:bookmarkStart w:id="5" w:name="_Toc144910464"/>
      <w:r w:rsidRPr="00B54523">
        <w:rPr>
          <w:rStyle w:val="IntenseEmphasis"/>
          <w:rFonts w:asciiTheme="minorHAnsi" w:hAnsiTheme="minorHAnsi" w:cstheme="minorHAnsi"/>
          <w:i w:val="0"/>
          <w:iCs w:val="0"/>
          <w:sz w:val="22"/>
          <w:szCs w:val="22"/>
          <w:lang w:val="ro-RO"/>
        </w:rPr>
        <w:t>Introducere:</w:t>
      </w:r>
      <w:bookmarkEnd w:id="5"/>
      <w:r w:rsidRPr="00B54523">
        <w:rPr>
          <w:rStyle w:val="IntenseEmphasis"/>
          <w:rFonts w:asciiTheme="minorHAnsi" w:hAnsiTheme="minorHAnsi" w:cstheme="minorHAnsi"/>
          <w:i w:val="0"/>
          <w:iCs w:val="0"/>
          <w:sz w:val="22"/>
          <w:szCs w:val="22"/>
          <w:lang w:val="ro-RO"/>
        </w:rPr>
        <w:t xml:space="preserve"> </w:t>
      </w:r>
    </w:p>
    <w:p w14:paraId="17018A70" w14:textId="77777777" w:rsidR="000A320D" w:rsidRPr="00B54523" w:rsidRDefault="000A320D" w:rsidP="000A320D">
      <w:pPr>
        <w:jc w:val="both"/>
        <w:rPr>
          <w:rFonts w:asciiTheme="minorHAnsi" w:hAnsiTheme="minorHAnsi"/>
          <w:sz w:val="22"/>
          <w:szCs w:val="22"/>
          <w:lang w:val="ro-RO"/>
        </w:rPr>
      </w:pPr>
    </w:p>
    <w:p w14:paraId="3128B47E" w14:textId="77777777" w:rsidR="000A320D" w:rsidRPr="00B54523" w:rsidRDefault="000A320D" w:rsidP="000A320D">
      <w:pPr>
        <w:pStyle w:val="Heading2"/>
        <w:numPr>
          <w:ilvl w:val="1"/>
          <w:numId w:val="10"/>
        </w:numPr>
        <w:jc w:val="both"/>
        <w:rPr>
          <w:rFonts w:asciiTheme="minorHAnsi" w:hAnsiTheme="minorHAnsi" w:cstheme="minorHAnsi"/>
          <w:b/>
          <w:bCs/>
          <w:sz w:val="22"/>
          <w:szCs w:val="22"/>
          <w:lang w:val="ro-RO"/>
        </w:rPr>
      </w:pPr>
      <w:bookmarkStart w:id="6" w:name="_Toc144910465"/>
      <w:r w:rsidRPr="00B54523">
        <w:rPr>
          <w:rFonts w:asciiTheme="minorHAnsi" w:hAnsiTheme="minorHAnsi" w:cstheme="minorHAnsi"/>
          <w:sz w:val="22"/>
          <w:szCs w:val="22"/>
          <w:lang w:val="ro-RO"/>
        </w:rPr>
        <w:t>Descrierea proiectului de infrastructură</w:t>
      </w:r>
      <w:bookmarkEnd w:id="6"/>
      <w:r w:rsidRPr="00B54523">
        <w:rPr>
          <w:rFonts w:asciiTheme="minorHAnsi" w:hAnsiTheme="minorHAnsi" w:cstheme="minorHAnsi"/>
          <w:sz w:val="22"/>
          <w:szCs w:val="22"/>
          <w:lang w:val="ro-RO"/>
        </w:rPr>
        <w:t xml:space="preserve"> </w:t>
      </w:r>
    </w:p>
    <w:p w14:paraId="01A11C65" w14:textId="77777777" w:rsidR="000A320D" w:rsidRPr="00B54523" w:rsidRDefault="000A320D" w:rsidP="000A320D">
      <w:pPr>
        <w:jc w:val="both"/>
        <w:rPr>
          <w:rFonts w:asciiTheme="minorHAnsi" w:hAnsiTheme="minorHAnsi"/>
          <w:b/>
          <w:bCs/>
          <w:sz w:val="22"/>
          <w:szCs w:val="22"/>
          <w:lang w:val="ro-RO"/>
        </w:rPr>
      </w:pPr>
      <w:r w:rsidRPr="00B54523">
        <w:rPr>
          <w:rFonts w:asciiTheme="minorHAnsi" w:hAnsiTheme="minorHAnsi"/>
          <w:sz w:val="22"/>
          <w:szCs w:val="22"/>
          <w:lang w:val="ro-RO"/>
        </w:rPr>
        <w:t>În cadrul acestei secțiuni se va avea în vedere inclusiv descrierea modului in care infrastructura propusă a fi realizată în cadrul proiectului abordează schimbările climatice, prezentându-se inclusiv costurile financiare estimate (costurile totale ale investiției, contribuția UE).  În cazul proiectelor fazate se va avea în vedere individualizarea costurilor pentru faza a doua a proiectului.</w:t>
      </w:r>
    </w:p>
    <w:p w14:paraId="1CCB0145" w14:textId="77777777" w:rsidR="000A320D" w:rsidRPr="00B54523" w:rsidRDefault="000A320D" w:rsidP="000A320D">
      <w:pPr>
        <w:jc w:val="both"/>
        <w:rPr>
          <w:rFonts w:asciiTheme="minorHAnsi" w:hAnsiTheme="minorHAnsi"/>
          <w:b/>
          <w:bCs/>
          <w:sz w:val="22"/>
          <w:szCs w:val="22"/>
          <w:lang w:val="ro-RO"/>
        </w:rPr>
      </w:pPr>
    </w:p>
    <w:p w14:paraId="32FC7ED9" w14:textId="77777777" w:rsidR="000A320D" w:rsidRPr="00B54523" w:rsidRDefault="000A320D" w:rsidP="000A320D">
      <w:pPr>
        <w:pStyle w:val="Heading2"/>
        <w:jc w:val="both"/>
        <w:rPr>
          <w:rFonts w:asciiTheme="minorHAnsi" w:hAnsiTheme="minorHAnsi" w:cstheme="minorHAnsi"/>
          <w:b/>
          <w:bCs/>
          <w:sz w:val="22"/>
          <w:szCs w:val="22"/>
          <w:lang w:val="ro-RO"/>
        </w:rPr>
      </w:pPr>
      <w:bookmarkStart w:id="7" w:name="_Toc144910466"/>
      <w:r w:rsidRPr="00B54523">
        <w:rPr>
          <w:rFonts w:asciiTheme="minorHAnsi" w:hAnsiTheme="minorHAnsi" w:cstheme="minorHAnsi"/>
          <w:sz w:val="22"/>
          <w:szCs w:val="22"/>
          <w:lang w:val="ro-RO"/>
        </w:rPr>
        <w:t>1.2 Datele elaboratorului documentației privind imunizarea la schimbarile climatice</w:t>
      </w:r>
      <w:bookmarkEnd w:id="7"/>
    </w:p>
    <w:p w14:paraId="1B9B1474" w14:textId="77777777" w:rsidR="000A320D" w:rsidRPr="00B54523" w:rsidRDefault="000A320D" w:rsidP="000A320D">
      <w:pPr>
        <w:jc w:val="both"/>
        <w:rPr>
          <w:rFonts w:asciiTheme="minorHAnsi" w:hAnsiTheme="minorHAnsi"/>
          <w:sz w:val="22"/>
          <w:szCs w:val="22"/>
          <w:lang w:val="ro-RO"/>
        </w:rPr>
      </w:pPr>
      <w:r w:rsidRPr="00B54523">
        <w:rPr>
          <w:rFonts w:asciiTheme="minorHAnsi" w:hAnsiTheme="minorHAnsi"/>
          <w:sz w:val="22"/>
          <w:szCs w:val="22"/>
          <w:lang w:val="ro-RO"/>
        </w:rPr>
        <w:t>În cadrul acestei secțiuni se vor detalia datele de contact ale entității juridice care a real</w:t>
      </w:r>
      <w:r w:rsidRPr="00B54523">
        <w:rPr>
          <w:rFonts w:asciiTheme="minorHAnsi" w:hAnsiTheme="minorHAnsi"/>
          <w:color w:val="FF0000"/>
          <w:sz w:val="22"/>
          <w:szCs w:val="22"/>
          <w:lang w:val="ro-RO"/>
        </w:rPr>
        <w:t>i</w:t>
      </w:r>
      <w:r w:rsidRPr="00B54523">
        <w:rPr>
          <w:rFonts w:asciiTheme="minorHAnsi" w:hAnsiTheme="minorHAnsi"/>
          <w:sz w:val="22"/>
          <w:szCs w:val="22"/>
          <w:lang w:val="ro-RO"/>
        </w:rPr>
        <w:t xml:space="preserve">zat documentația, </w:t>
      </w:r>
      <w:r w:rsidRPr="00D04912">
        <w:rPr>
          <w:rFonts w:asciiTheme="minorHAnsi" w:hAnsiTheme="minorHAnsi"/>
          <w:sz w:val="22"/>
          <w:szCs w:val="22"/>
          <w:lang w:val="ro-RO"/>
        </w:rPr>
        <w:t>experiența ș</w:t>
      </w:r>
      <w:r w:rsidRPr="00B54523">
        <w:rPr>
          <w:rFonts w:asciiTheme="minorHAnsi" w:hAnsiTheme="minorHAnsi"/>
          <w:sz w:val="22"/>
          <w:szCs w:val="22"/>
          <w:lang w:val="ro-RO"/>
        </w:rPr>
        <w:t xml:space="preserve">i echipa de experți aferentă. </w:t>
      </w:r>
    </w:p>
    <w:p w14:paraId="276C5828" w14:textId="77777777" w:rsidR="000A320D" w:rsidRPr="00B54523" w:rsidRDefault="000A320D" w:rsidP="000A320D">
      <w:pPr>
        <w:jc w:val="both"/>
        <w:rPr>
          <w:rFonts w:asciiTheme="minorHAnsi" w:hAnsiTheme="minorHAnsi"/>
          <w:sz w:val="22"/>
          <w:szCs w:val="22"/>
          <w:lang w:val="ro-RO"/>
        </w:rPr>
      </w:pPr>
    </w:p>
    <w:p w14:paraId="027EC699" w14:textId="77777777" w:rsidR="000A320D" w:rsidRPr="00B54523" w:rsidRDefault="000A320D" w:rsidP="000A320D">
      <w:pPr>
        <w:pStyle w:val="Heading1"/>
        <w:numPr>
          <w:ilvl w:val="0"/>
          <w:numId w:val="10"/>
        </w:numPr>
        <w:jc w:val="both"/>
        <w:rPr>
          <w:rStyle w:val="IntenseEmphasis"/>
          <w:rFonts w:asciiTheme="minorHAnsi" w:hAnsiTheme="minorHAnsi" w:cstheme="minorHAnsi"/>
          <w:i w:val="0"/>
          <w:iCs w:val="0"/>
          <w:sz w:val="22"/>
          <w:szCs w:val="22"/>
          <w:lang w:val="ro-RO"/>
        </w:rPr>
      </w:pPr>
      <w:bookmarkStart w:id="8" w:name="_Toc144910467"/>
      <w:r w:rsidRPr="00B54523">
        <w:rPr>
          <w:rStyle w:val="IntenseEmphasis"/>
          <w:rFonts w:asciiTheme="minorHAnsi" w:hAnsiTheme="minorHAnsi" w:cstheme="minorHAnsi"/>
          <w:i w:val="0"/>
          <w:iCs w:val="0"/>
          <w:sz w:val="22"/>
          <w:szCs w:val="22"/>
          <w:lang w:val="ro-RO"/>
        </w:rPr>
        <w:t>Procesul de imunizare la schimbările climatice:</w:t>
      </w:r>
      <w:bookmarkEnd w:id="8"/>
      <w:r w:rsidRPr="00B54523">
        <w:rPr>
          <w:rStyle w:val="IntenseEmphasis"/>
          <w:rFonts w:asciiTheme="minorHAnsi" w:hAnsiTheme="minorHAnsi" w:cstheme="minorHAnsi"/>
          <w:i w:val="0"/>
          <w:iCs w:val="0"/>
          <w:sz w:val="22"/>
          <w:szCs w:val="22"/>
          <w:lang w:val="ro-RO"/>
        </w:rPr>
        <w:t xml:space="preserve"> </w:t>
      </w:r>
    </w:p>
    <w:p w14:paraId="54957F0F" w14:textId="77777777" w:rsidR="000A320D" w:rsidRPr="00B54523" w:rsidRDefault="000A320D" w:rsidP="000A320D">
      <w:pPr>
        <w:jc w:val="both"/>
        <w:rPr>
          <w:rFonts w:asciiTheme="minorHAnsi" w:hAnsiTheme="minorHAnsi"/>
          <w:b/>
          <w:bCs/>
          <w:sz w:val="22"/>
          <w:szCs w:val="22"/>
          <w:lang w:val="ro-RO"/>
        </w:rPr>
      </w:pPr>
    </w:p>
    <w:p w14:paraId="06384FBD" w14:textId="77777777" w:rsidR="000A320D" w:rsidRPr="00B54523" w:rsidRDefault="000A320D" w:rsidP="000A320D">
      <w:pPr>
        <w:pStyle w:val="Heading2"/>
        <w:jc w:val="both"/>
        <w:rPr>
          <w:rFonts w:asciiTheme="minorHAnsi" w:hAnsiTheme="minorHAnsi" w:cstheme="minorHAnsi"/>
          <w:b/>
          <w:bCs/>
          <w:sz w:val="22"/>
          <w:szCs w:val="22"/>
          <w:lang w:val="ro-RO"/>
        </w:rPr>
      </w:pPr>
      <w:bookmarkStart w:id="9" w:name="_Toc144910468"/>
      <w:r w:rsidRPr="00B54523">
        <w:rPr>
          <w:rFonts w:asciiTheme="minorHAnsi" w:hAnsiTheme="minorHAnsi" w:cstheme="minorHAnsi"/>
          <w:sz w:val="22"/>
          <w:szCs w:val="22"/>
          <w:lang w:val="ro-RO"/>
        </w:rPr>
        <w:t>2.1 Descrierea procesului de imunizare la schimbările climatice</w:t>
      </w:r>
      <w:bookmarkEnd w:id="9"/>
      <w:r w:rsidRPr="00B54523">
        <w:rPr>
          <w:rFonts w:asciiTheme="minorHAnsi" w:hAnsiTheme="minorHAnsi" w:cstheme="minorHAnsi"/>
          <w:sz w:val="22"/>
          <w:szCs w:val="22"/>
          <w:lang w:val="ro-RO"/>
        </w:rPr>
        <w:t xml:space="preserve"> </w:t>
      </w:r>
    </w:p>
    <w:p w14:paraId="3957B9F6" w14:textId="77777777" w:rsidR="000A320D" w:rsidRPr="00B54523" w:rsidRDefault="000A320D" w:rsidP="000A320D">
      <w:pPr>
        <w:jc w:val="both"/>
        <w:rPr>
          <w:rFonts w:asciiTheme="minorHAnsi" w:hAnsiTheme="minorHAnsi"/>
          <w:b/>
          <w:bCs/>
          <w:sz w:val="22"/>
          <w:szCs w:val="22"/>
          <w:lang w:val="ro-RO"/>
        </w:rPr>
      </w:pPr>
      <w:r w:rsidRPr="00B54523">
        <w:rPr>
          <w:rFonts w:asciiTheme="minorHAnsi" w:hAnsiTheme="minorHAnsi"/>
          <w:sz w:val="22"/>
          <w:szCs w:val="22"/>
          <w:lang w:val="ro-RO"/>
        </w:rPr>
        <w:t xml:space="preserve">În cadrul acestei secțiuni se vor avea în vedere toate etapele ciclului de proiect de la planificarea inițială până la finalizare, inclusiv integrarea în întreg ciclul de dezvoltare a măsurilor asociate și detalierea analizei. De asemenea, informațiile din cadrul prezentei secțiuni vor fi corelate cu  procesele de evaluare a impactului asupra mediului (de </w:t>
      </w:r>
      <w:r w:rsidRPr="00D04912">
        <w:rPr>
          <w:rFonts w:asciiTheme="minorHAnsi" w:hAnsiTheme="minorHAnsi"/>
          <w:sz w:val="22"/>
          <w:szCs w:val="22"/>
          <w:lang w:val="ro-RO"/>
        </w:rPr>
        <w:t xml:space="preserve">exemplu EIM) </w:t>
      </w:r>
      <w:r w:rsidRPr="00B54523">
        <w:rPr>
          <w:rFonts w:asciiTheme="minorHAnsi" w:hAnsiTheme="minorHAnsi"/>
          <w:sz w:val="22"/>
          <w:szCs w:val="22"/>
          <w:lang w:val="ro-RO"/>
        </w:rPr>
        <w:t>și cu analiza DNSH.</w:t>
      </w:r>
    </w:p>
    <w:p w14:paraId="7585E3F6" w14:textId="77777777" w:rsidR="000A320D" w:rsidRPr="00B54523" w:rsidRDefault="000A320D" w:rsidP="000A320D">
      <w:pPr>
        <w:jc w:val="both"/>
        <w:rPr>
          <w:rFonts w:asciiTheme="minorHAnsi" w:hAnsiTheme="minorHAnsi"/>
          <w:b/>
          <w:bCs/>
          <w:sz w:val="22"/>
          <w:szCs w:val="22"/>
          <w:lang w:val="ro-RO"/>
        </w:rPr>
      </w:pPr>
    </w:p>
    <w:p w14:paraId="2C874D27" w14:textId="77777777" w:rsidR="000A320D" w:rsidRPr="00B54523" w:rsidRDefault="000A320D" w:rsidP="000A320D">
      <w:pPr>
        <w:pStyle w:val="Heading1"/>
        <w:numPr>
          <w:ilvl w:val="0"/>
          <w:numId w:val="10"/>
        </w:numPr>
        <w:jc w:val="both"/>
        <w:rPr>
          <w:rStyle w:val="IntenseEmphasis"/>
          <w:rFonts w:asciiTheme="minorHAnsi" w:hAnsiTheme="minorHAnsi" w:cstheme="minorHAnsi"/>
          <w:i w:val="0"/>
          <w:iCs w:val="0"/>
          <w:sz w:val="22"/>
          <w:szCs w:val="22"/>
          <w:lang w:val="ro-RO"/>
        </w:rPr>
      </w:pPr>
      <w:bookmarkStart w:id="10" w:name="_Toc144910469"/>
      <w:r w:rsidRPr="00B54523">
        <w:rPr>
          <w:rStyle w:val="IntenseEmphasis"/>
          <w:rFonts w:asciiTheme="minorHAnsi" w:hAnsiTheme="minorHAnsi" w:cstheme="minorHAnsi"/>
          <w:i w:val="0"/>
          <w:iCs w:val="0"/>
          <w:sz w:val="22"/>
          <w:szCs w:val="22"/>
          <w:lang w:val="ro-RO"/>
        </w:rPr>
        <w:t>Atenuarea schimbărilor climatice (neutralitate climatică):</w:t>
      </w:r>
      <w:bookmarkEnd w:id="10"/>
    </w:p>
    <w:p w14:paraId="5DA7A383" w14:textId="77777777" w:rsidR="000A320D" w:rsidRPr="00B54523" w:rsidRDefault="000A320D" w:rsidP="000A320D">
      <w:pPr>
        <w:pStyle w:val="Heading2"/>
        <w:jc w:val="both"/>
        <w:rPr>
          <w:rFonts w:asciiTheme="minorHAnsi" w:hAnsiTheme="minorHAnsi" w:cstheme="minorHAnsi"/>
          <w:b/>
          <w:bCs/>
          <w:sz w:val="22"/>
          <w:szCs w:val="22"/>
          <w:lang w:val="ro-RO"/>
        </w:rPr>
      </w:pPr>
    </w:p>
    <w:p w14:paraId="0338CA56" w14:textId="77777777" w:rsidR="000A320D" w:rsidRPr="00B54523" w:rsidRDefault="000A320D" w:rsidP="000A320D">
      <w:pPr>
        <w:pStyle w:val="Heading2"/>
        <w:numPr>
          <w:ilvl w:val="1"/>
          <w:numId w:val="10"/>
        </w:numPr>
        <w:jc w:val="both"/>
        <w:rPr>
          <w:rFonts w:asciiTheme="minorHAnsi" w:hAnsiTheme="minorHAnsi" w:cstheme="minorHAnsi"/>
          <w:b/>
          <w:bCs/>
          <w:sz w:val="22"/>
          <w:szCs w:val="22"/>
          <w:lang w:val="ro-RO"/>
        </w:rPr>
      </w:pPr>
      <w:r w:rsidRPr="00B54523">
        <w:rPr>
          <w:rFonts w:asciiTheme="minorHAnsi" w:hAnsiTheme="minorHAnsi" w:cstheme="minorHAnsi"/>
          <w:sz w:val="22"/>
          <w:szCs w:val="22"/>
          <w:lang w:val="ro-RO"/>
        </w:rPr>
        <w:t xml:space="preserve"> </w:t>
      </w:r>
      <w:bookmarkStart w:id="11" w:name="_Toc144910470"/>
      <w:r w:rsidRPr="00B54523">
        <w:rPr>
          <w:rFonts w:asciiTheme="minorHAnsi" w:hAnsiTheme="minorHAnsi" w:cstheme="minorHAnsi"/>
          <w:sz w:val="22"/>
          <w:szCs w:val="22"/>
          <w:lang w:val="ro-RO"/>
        </w:rPr>
        <w:t>Descrierea examinării și a rezultatului acesteia.</w:t>
      </w:r>
      <w:bookmarkEnd w:id="11"/>
    </w:p>
    <w:p w14:paraId="34B6EE61" w14:textId="77777777" w:rsidR="000A320D" w:rsidRPr="00B54523" w:rsidRDefault="000A320D" w:rsidP="000A320D">
      <w:pPr>
        <w:jc w:val="both"/>
        <w:rPr>
          <w:rFonts w:asciiTheme="minorHAnsi" w:hAnsiTheme="minorHAnsi"/>
          <w:b/>
          <w:bCs/>
          <w:sz w:val="22"/>
          <w:szCs w:val="22"/>
          <w:lang w:val="ro-RO"/>
        </w:rPr>
      </w:pPr>
      <w:r w:rsidRPr="00B54523">
        <w:rPr>
          <w:rFonts w:asciiTheme="minorHAnsi" w:hAnsiTheme="minorHAnsi"/>
          <w:sz w:val="22"/>
          <w:szCs w:val="22"/>
          <w:lang w:val="ro-RO"/>
        </w:rPr>
        <w:t xml:space="preserve">În situația în care se consideră că nu este necesară parcurgerea analizei detaliate pentru acest criteriu, respectiv etapa 2 de mai jos, se va avea în vedere detalierea justificării aferente în cadrul unui document intitulat </w:t>
      </w:r>
      <w:r w:rsidRPr="00B54523">
        <w:rPr>
          <w:rFonts w:asciiTheme="minorHAnsi" w:hAnsiTheme="minorHAnsi"/>
          <w:i/>
          <w:iCs/>
          <w:sz w:val="22"/>
          <w:szCs w:val="22"/>
          <w:lang w:val="ro-RO"/>
        </w:rPr>
        <w:t>Document de examinare a neutralității climatice</w:t>
      </w:r>
      <w:r w:rsidRPr="00B54523">
        <w:rPr>
          <w:rFonts w:asciiTheme="minorHAnsi" w:hAnsiTheme="minorHAnsi"/>
          <w:sz w:val="22"/>
          <w:szCs w:val="22"/>
          <w:lang w:val="ro-RO"/>
        </w:rPr>
        <w:t>.</w:t>
      </w:r>
    </w:p>
    <w:p w14:paraId="68E3CE5D" w14:textId="77777777" w:rsidR="000A320D" w:rsidRPr="00B54523" w:rsidRDefault="000A320D" w:rsidP="000A320D">
      <w:pPr>
        <w:jc w:val="both"/>
        <w:rPr>
          <w:rFonts w:asciiTheme="minorHAnsi" w:hAnsiTheme="minorHAnsi"/>
          <w:b/>
          <w:bCs/>
          <w:sz w:val="22"/>
          <w:szCs w:val="22"/>
          <w:lang w:val="ro-RO"/>
        </w:rPr>
      </w:pPr>
    </w:p>
    <w:p w14:paraId="0670AF70" w14:textId="77777777" w:rsidR="000A320D" w:rsidRPr="00B54523" w:rsidRDefault="000A320D" w:rsidP="000A320D">
      <w:pPr>
        <w:pStyle w:val="Heading2"/>
        <w:numPr>
          <w:ilvl w:val="1"/>
          <w:numId w:val="10"/>
        </w:numPr>
        <w:jc w:val="both"/>
        <w:rPr>
          <w:rFonts w:asciiTheme="minorHAnsi" w:hAnsiTheme="minorHAnsi" w:cstheme="minorHAnsi"/>
          <w:b/>
          <w:bCs/>
          <w:sz w:val="22"/>
          <w:szCs w:val="22"/>
          <w:lang w:val="ro-RO"/>
        </w:rPr>
      </w:pPr>
      <w:bookmarkStart w:id="12" w:name="_Toc144910471"/>
      <w:r w:rsidRPr="00B54523">
        <w:rPr>
          <w:rFonts w:asciiTheme="minorHAnsi" w:hAnsiTheme="minorHAnsi" w:cstheme="minorHAnsi"/>
          <w:sz w:val="22"/>
          <w:szCs w:val="22"/>
          <w:lang w:val="ro-RO"/>
        </w:rPr>
        <w:t>Analiza detaliată pentru atenuarea schimbărilor climatice:</w:t>
      </w:r>
      <w:bookmarkEnd w:id="12"/>
      <w:r w:rsidRPr="00B54523">
        <w:rPr>
          <w:rFonts w:asciiTheme="minorHAnsi" w:hAnsiTheme="minorHAnsi" w:cstheme="minorHAnsi"/>
          <w:sz w:val="22"/>
          <w:szCs w:val="22"/>
          <w:lang w:val="ro-RO"/>
        </w:rPr>
        <w:t xml:space="preserve"> </w:t>
      </w:r>
    </w:p>
    <w:p w14:paraId="2C071383" w14:textId="77777777" w:rsidR="000A320D" w:rsidRPr="00B54523" w:rsidRDefault="000A320D" w:rsidP="000A320D">
      <w:pPr>
        <w:jc w:val="both"/>
        <w:rPr>
          <w:rFonts w:asciiTheme="minorHAnsi" w:hAnsiTheme="minorHAnsi"/>
          <w:b/>
          <w:bCs/>
          <w:sz w:val="22"/>
          <w:szCs w:val="22"/>
          <w:lang w:val="ro-RO"/>
        </w:rPr>
      </w:pPr>
      <w:r w:rsidRPr="00B54523">
        <w:rPr>
          <w:rFonts w:asciiTheme="minorHAnsi" w:hAnsiTheme="minorHAnsi"/>
          <w:sz w:val="22"/>
          <w:szCs w:val="22"/>
          <w:lang w:val="ro-RO"/>
        </w:rPr>
        <w:t>Se vor avea în vedere următoarele:</w:t>
      </w:r>
    </w:p>
    <w:p w14:paraId="2684486E"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 xml:space="preserve">Descrierea emisiilor de GES și compararea acestora cu pragurile pentru emisiile absolute și relative. După caz, descrierea analizei economice și a utilizării costului fictiv al carbonului, precum și a analizei opțiunilor și a integrării principiului „eficiența energetică înainte de toate”. </w:t>
      </w:r>
    </w:p>
    <w:p w14:paraId="3BDB7482"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 xml:space="preserve">Descrierea concordanței proiectului cu planurile UE și naționale privind energia și clima relevante, cu obiectivul UE de reducere a emisiilor până în 2030 și de obținere a neutralității climatice până în 2050. Descrierea modului în care proiectul contribuie la îndeplinirea obiectivelor acestor planuri și ținte. </w:t>
      </w:r>
    </w:p>
    <w:p w14:paraId="6D11832E"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 xml:space="preserve">Pentru proiectele cu o durată de viață preconizată care se extinde după 2050, descrierea compatibilității cu exploatarea, întreținerea și eventuala dezafectare în condiții de neutralitate climatică. </w:t>
      </w:r>
    </w:p>
    <w:p w14:paraId="53E26163"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Furnizarea altor informații relevante, de exemplu cu privire la scenariul de referință pentru amprenta de carbon</w:t>
      </w:r>
      <w:r w:rsidRPr="00B54523">
        <w:rPr>
          <w:rFonts w:asciiTheme="minorHAnsi" w:hAnsiTheme="minorHAnsi"/>
          <w:color w:val="FF0000"/>
          <w:sz w:val="22"/>
          <w:szCs w:val="22"/>
          <w:lang w:val="ro-RO"/>
        </w:rPr>
        <w:t>.</w:t>
      </w:r>
      <w:r w:rsidRPr="00B54523">
        <w:rPr>
          <w:rFonts w:asciiTheme="minorHAnsi" w:hAnsiTheme="minorHAnsi"/>
          <w:sz w:val="22"/>
          <w:szCs w:val="22"/>
          <w:lang w:val="ro-RO"/>
        </w:rPr>
        <w:t xml:space="preserve"> </w:t>
      </w:r>
    </w:p>
    <w:p w14:paraId="2EBEFF8A" w14:textId="77777777" w:rsidR="000A320D" w:rsidRPr="00B54523" w:rsidRDefault="000A320D" w:rsidP="000A320D">
      <w:pPr>
        <w:pStyle w:val="Heading1"/>
        <w:numPr>
          <w:ilvl w:val="0"/>
          <w:numId w:val="10"/>
        </w:numPr>
        <w:jc w:val="both"/>
        <w:rPr>
          <w:rStyle w:val="IntenseEmphasis"/>
          <w:rFonts w:asciiTheme="minorHAnsi" w:hAnsiTheme="minorHAnsi" w:cstheme="minorHAnsi"/>
          <w:i w:val="0"/>
          <w:iCs w:val="0"/>
          <w:sz w:val="22"/>
          <w:szCs w:val="22"/>
          <w:lang w:val="ro-RO"/>
        </w:rPr>
      </w:pPr>
      <w:bookmarkStart w:id="13" w:name="_Toc144910472"/>
      <w:r w:rsidRPr="00B54523">
        <w:rPr>
          <w:rStyle w:val="IntenseEmphasis"/>
          <w:rFonts w:asciiTheme="minorHAnsi" w:hAnsiTheme="minorHAnsi" w:cstheme="minorHAnsi"/>
          <w:i w:val="0"/>
          <w:iCs w:val="0"/>
          <w:sz w:val="22"/>
          <w:szCs w:val="22"/>
          <w:lang w:val="ro-RO"/>
        </w:rPr>
        <w:t>Adaptarea la schimbările climatice (reziliența la schimbările climatice):</w:t>
      </w:r>
      <w:bookmarkEnd w:id="13"/>
      <w:r w:rsidRPr="00B54523">
        <w:rPr>
          <w:rStyle w:val="IntenseEmphasis"/>
          <w:rFonts w:asciiTheme="minorHAnsi" w:hAnsiTheme="minorHAnsi" w:cstheme="minorHAnsi"/>
          <w:i w:val="0"/>
          <w:iCs w:val="0"/>
          <w:sz w:val="22"/>
          <w:szCs w:val="22"/>
          <w:lang w:val="ro-RO"/>
        </w:rPr>
        <w:t xml:space="preserve"> </w:t>
      </w:r>
    </w:p>
    <w:p w14:paraId="705E0C2C" w14:textId="77777777" w:rsidR="000A320D" w:rsidRPr="00B54523" w:rsidRDefault="000A320D" w:rsidP="000A320D">
      <w:pPr>
        <w:jc w:val="both"/>
        <w:rPr>
          <w:rFonts w:asciiTheme="minorHAnsi" w:hAnsiTheme="minorHAnsi"/>
          <w:sz w:val="22"/>
          <w:szCs w:val="22"/>
          <w:lang w:val="ro-RO"/>
        </w:rPr>
      </w:pPr>
    </w:p>
    <w:p w14:paraId="6305F948" w14:textId="77777777" w:rsidR="000A320D" w:rsidRPr="00B54523" w:rsidRDefault="000A320D" w:rsidP="000A320D">
      <w:pPr>
        <w:pStyle w:val="Heading2"/>
        <w:jc w:val="both"/>
        <w:rPr>
          <w:rFonts w:asciiTheme="minorHAnsi" w:hAnsiTheme="minorHAnsi" w:cstheme="minorHAnsi"/>
          <w:b/>
          <w:bCs/>
          <w:sz w:val="22"/>
          <w:szCs w:val="22"/>
          <w:lang w:val="ro-RO"/>
        </w:rPr>
      </w:pPr>
      <w:bookmarkStart w:id="14" w:name="_Toc144910473"/>
      <w:r w:rsidRPr="00B54523">
        <w:rPr>
          <w:rFonts w:asciiTheme="minorHAnsi" w:hAnsiTheme="minorHAnsi" w:cstheme="minorHAnsi"/>
          <w:sz w:val="22"/>
          <w:szCs w:val="22"/>
          <w:lang w:val="ro-RO"/>
        </w:rPr>
        <w:t>4.1 Descrierea examinării și a rezultatului acesteia, inclusiv detalii adecvate privind analiza sensibilității, a expunerii și a vulnerabilității.</w:t>
      </w:r>
      <w:bookmarkEnd w:id="14"/>
      <w:r w:rsidRPr="00B54523">
        <w:rPr>
          <w:rFonts w:asciiTheme="minorHAnsi" w:hAnsiTheme="minorHAnsi" w:cstheme="minorHAnsi"/>
          <w:sz w:val="22"/>
          <w:szCs w:val="22"/>
          <w:lang w:val="ro-RO"/>
        </w:rPr>
        <w:t xml:space="preserve"> </w:t>
      </w:r>
    </w:p>
    <w:p w14:paraId="77391E63" w14:textId="77777777" w:rsidR="000A320D" w:rsidRPr="00B54523" w:rsidRDefault="000A320D" w:rsidP="000A320D">
      <w:pPr>
        <w:jc w:val="both"/>
        <w:rPr>
          <w:rFonts w:asciiTheme="minorHAnsi" w:hAnsiTheme="minorHAnsi"/>
          <w:b/>
          <w:bCs/>
          <w:sz w:val="22"/>
          <w:szCs w:val="22"/>
          <w:lang w:val="ro-RO"/>
        </w:rPr>
      </w:pPr>
      <w:r w:rsidRPr="00B54523">
        <w:rPr>
          <w:rFonts w:asciiTheme="minorHAnsi" w:hAnsiTheme="minorHAnsi"/>
          <w:sz w:val="22"/>
          <w:szCs w:val="22"/>
          <w:lang w:val="ro-RO"/>
        </w:rPr>
        <w:t xml:space="preserve">În situația în care se consideră că nu este necesară parcurgerea analizei detaliate pentru acest criteriu, respectiv etapa 2 de mai jos, se va avea în vedere detalierea justificării aferente într-un document intitulat </w:t>
      </w:r>
      <w:r w:rsidRPr="00B54523">
        <w:rPr>
          <w:rFonts w:asciiTheme="minorHAnsi" w:hAnsiTheme="minorHAnsi"/>
          <w:i/>
          <w:iCs/>
          <w:sz w:val="22"/>
          <w:szCs w:val="22"/>
          <w:lang w:val="ro-RO"/>
        </w:rPr>
        <w:t>Document de examinare a rezilienței climatice.</w:t>
      </w:r>
    </w:p>
    <w:p w14:paraId="654FB6FF" w14:textId="77777777" w:rsidR="000A320D" w:rsidRPr="00B54523" w:rsidRDefault="000A320D" w:rsidP="000A320D">
      <w:pPr>
        <w:jc w:val="both"/>
        <w:rPr>
          <w:rFonts w:asciiTheme="minorHAnsi" w:hAnsiTheme="minorHAnsi"/>
          <w:b/>
          <w:bCs/>
          <w:sz w:val="22"/>
          <w:szCs w:val="22"/>
          <w:lang w:val="ro-RO"/>
        </w:rPr>
      </w:pPr>
    </w:p>
    <w:p w14:paraId="3E2C385E" w14:textId="77777777" w:rsidR="000A320D" w:rsidRPr="00B54523" w:rsidRDefault="000A320D" w:rsidP="000A320D">
      <w:pPr>
        <w:pStyle w:val="Heading2"/>
        <w:numPr>
          <w:ilvl w:val="1"/>
          <w:numId w:val="14"/>
        </w:numPr>
        <w:jc w:val="both"/>
        <w:rPr>
          <w:rFonts w:asciiTheme="minorHAnsi" w:hAnsiTheme="minorHAnsi" w:cstheme="minorHAnsi"/>
          <w:b/>
          <w:bCs/>
          <w:sz w:val="22"/>
          <w:szCs w:val="22"/>
          <w:lang w:val="ro-RO"/>
        </w:rPr>
      </w:pPr>
      <w:bookmarkStart w:id="15" w:name="_Toc144910474"/>
      <w:r w:rsidRPr="00B54523">
        <w:rPr>
          <w:rFonts w:asciiTheme="minorHAnsi" w:hAnsiTheme="minorHAnsi" w:cstheme="minorHAnsi"/>
          <w:sz w:val="22"/>
          <w:szCs w:val="22"/>
          <w:lang w:val="ro-RO"/>
        </w:rPr>
        <w:t>Analiza detaliată pentru adaptarea la schimbările climatice:</w:t>
      </w:r>
      <w:bookmarkEnd w:id="15"/>
      <w:r w:rsidRPr="00B54523">
        <w:rPr>
          <w:rFonts w:asciiTheme="minorHAnsi" w:hAnsiTheme="minorHAnsi" w:cstheme="minorHAnsi"/>
          <w:sz w:val="22"/>
          <w:szCs w:val="22"/>
          <w:lang w:val="ro-RO"/>
        </w:rPr>
        <w:t xml:space="preserve"> </w:t>
      </w:r>
    </w:p>
    <w:p w14:paraId="417B3EEC" w14:textId="77777777" w:rsidR="000A320D" w:rsidRPr="00B54523" w:rsidRDefault="000A320D" w:rsidP="000A320D">
      <w:pPr>
        <w:jc w:val="both"/>
        <w:rPr>
          <w:rFonts w:asciiTheme="minorHAnsi" w:hAnsiTheme="minorHAnsi"/>
          <w:b/>
          <w:bCs/>
          <w:sz w:val="22"/>
          <w:szCs w:val="22"/>
          <w:lang w:val="ro-RO"/>
        </w:rPr>
      </w:pPr>
      <w:r w:rsidRPr="00B54523">
        <w:rPr>
          <w:rFonts w:asciiTheme="minorHAnsi" w:hAnsiTheme="minorHAnsi"/>
          <w:sz w:val="22"/>
          <w:szCs w:val="22"/>
          <w:lang w:val="ro-RO"/>
        </w:rPr>
        <w:t>Se vor avea în vedere următoarele:</w:t>
      </w:r>
    </w:p>
    <w:p w14:paraId="3029B63B"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Descrierea evaluării riscurilor climatice, inclusiv a analizei probabilității și a impactului, precum și a riscurilor climatice identificate</w:t>
      </w:r>
    </w:p>
    <w:p w14:paraId="4B40CEBF"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 xml:space="preserve"> Descrierea modului în care sunt abordate riscurile climatice identificate prin măsuri de adaptare relevante, inclusiv a modului de identificare, evaluare, planificare și punere în aplicare a acestor măsuri </w:t>
      </w:r>
    </w:p>
    <w:p w14:paraId="10486303"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 xml:space="preserve">Descrierea evaluării și a rezultatului în ceea ce privește monitorizarea periodică și urmărirea, de exemplu, a ipotezelor critice în legătură cu schimbările climatice viitoare </w:t>
      </w:r>
    </w:p>
    <w:p w14:paraId="440B139A"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 xml:space="preserve">Descrierea concordanței proiectului cu strategiile și planurile UE și, după caz, naționale, regionale și locale privind adaptarea la schimbările climatice, precum și cu planurile naționale sau regionale de gestionare a riscurilor de dezastre. </w:t>
      </w:r>
    </w:p>
    <w:p w14:paraId="77FBC68B" w14:textId="77777777" w:rsidR="000A320D" w:rsidRPr="00B54523" w:rsidRDefault="000A320D" w:rsidP="000A320D">
      <w:pPr>
        <w:pStyle w:val="Heading1"/>
        <w:numPr>
          <w:ilvl w:val="0"/>
          <w:numId w:val="10"/>
        </w:numPr>
        <w:jc w:val="both"/>
        <w:rPr>
          <w:rFonts w:ascii="Calibri" w:hAnsi="Calibri"/>
          <w:sz w:val="22"/>
          <w:szCs w:val="22"/>
          <w:lang w:val="ro-RO"/>
        </w:rPr>
      </w:pPr>
      <w:bookmarkStart w:id="16" w:name="_Toc144910475"/>
      <w:r w:rsidRPr="00B54523">
        <w:rPr>
          <w:rFonts w:ascii="Calibri" w:hAnsi="Calibri"/>
          <w:sz w:val="22"/>
          <w:szCs w:val="22"/>
          <w:lang w:val="ro-RO"/>
        </w:rPr>
        <w:t>Informații privind verificarea (dacă este cazul):</w:t>
      </w:r>
      <w:bookmarkEnd w:id="16"/>
    </w:p>
    <w:p w14:paraId="10FCCD44" w14:textId="77777777" w:rsidR="000A320D" w:rsidRPr="00B54523" w:rsidRDefault="000A320D" w:rsidP="000A320D">
      <w:pPr>
        <w:jc w:val="both"/>
        <w:rPr>
          <w:rFonts w:eastAsiaTheme="majorEastAsia"/>
          <w:color w:val="2F5496" w:themeColor="accent1" w:themeShade="BF"/>
          <w:sz w:val="22"/>
          <w:szCs w:val="22"/>
          <w:lang w:val="ro-RO"/>
        </w:rPr>
      </w:pPr>
    </w:p>
    <w:p w14:paraId="4D5B6C77" w14:textId="77777777" w:rsidR="000A320D" w:rsidRPr="00B54523" w:rsidRDefault="000A320D" w:rsidP="000A320D">
      <w:pPr>
        <w:pStyle w:val="CM1"/>
        <w:numPr>
          <w:ilvl w:val="1"/>
          <w:numId w:val="10"/>
        </w:numPr>
        <w:jc w:val="both"/>
        <w:rPr>
          <w:rFonts w:ascii="Calibri" w:eastAsiaTheme="majorEastAsia" w:hAnsi="Calibri"/>
          <w:iCs/>
          <w:color w:val="2F5496" w:themeColor="accent1" w:themeShade="BF"/>
          <w:sz w:val="22"/>
          <w:szCs w:val="22"/>
          <w:lang w:val="ro-RO"/>
        </w:rPr>
      </w:pPr>
      <w:r w:rsidRPr="00B54523">
        <w:rPr>
          <w:rFonts w:ascii="Calibri" w:eastAsiaTheme="majorEastAsia" w:hAnsi="Calibri"/>
          <w:iCs/>
          <w:color w:val="2F5496" w:themeColor="accent1" w:themeShade="BF"/>
          <w:sz w:val="22"/>
          <w:szCs w:val="22"/>
          <w:lang w:val="ro-RO"/>
        </w:rPr>
        <w:t>Descrierea modului în care a fost efectuată verificarea</w:t>
      </w:r>
    </w:p>
    <w:p w14:paraId="475CE500" w14:textId="77777777" w:rsidR="000A320D" w:rsidRPr="00B54523" w:rsidRDefault="000A320D" w:rsidP="000A320D">
      <w:pPr>
        <w:jc w:val="both"/>
        <w:rPr>
          <w:rFonts w:eastAsiaTheme="majorEastAsia"/>
          <w:color w:val="2F5496" w:themeColor="accent1" w:themeShade="BF"/>
          <w:sz w:val="22"/>
          <w:szCs w:val="22"/>
          <w:lang w:val="ro-RO"/>
        </w:rPr>
      </w:pPr>
    </w:p>
    <w:p w14:paraId="51CA0DAF" w14:textId="77777777" w:rsidR="000A320D" w:rsidRPr="00B54523" w:rsidRDefault="000A320D" w:rsidP="000A320D">
      <w:pPr>
        <w:pStyle w:val="CM1"/>
        <w:numPr>
          <w:ilvl w:val="1"/>
          <w:numId w:val="10"/>
        </w:numPr>
        <w:jc w:val="both"/>
        <w:rPr>
          <w:rFonts w:ascii="Calibri" w:eastAsiaTheme="majorEastAsia" w:hAnsi="Calibri"/>
          <w:iCs/>
          <w:color w:val="2F5496" w:themeColor="accent1" w:themeShade="BF"/>
          <w:sz w:val="22"/>
          <w:szCs w:val="22"/>
          <w:lang w:val="ro-RO"/>
        </w:rPr>
      </w:pPr>
      <w:bookmarkStart w:id="17" w:name="_Toc144910476"/>
      <w:r w:rsidRPr="00B54523">
        <w:rPr>
          <w:rFonts w:ascii="Calibri" w:eastAsiaTheme="majorEastAsia" w:hAnsi="Calibri"/>
          <w:iCs/>
          <w:color w:val="2F5496" w:themeColor="accent1" w:themeShade="BF"/>
          <w:sz w:val="22"/>
          <w:szCs w:val="22"/>
          <w:lang w:val="ro-RO"/>
        </w:rPr>
        <w:t>Descrierea principalelor constatări</w:t>
      </w:r>
      <w:bookmarkEnd w:id="17"/>
      <w:r w:rsidRPr="00B54523">
        <w:rPr>
          <w:rFonts w:ascii="Calibri" w:eastAsiaTheme="majorEastAsia" w:hAnsi="Calibri"/>
          <w:iCs/>
          <w:color w:val="2F5496" w:themeColor="accent1" w:themeShade="BF"/>
          <w:sz w:val="22"/>
          <w:szCs w:val="22"/>
          <w:lang w:val="ro-RO"/>
        </w:rPr>
        <w:t xml:space="preserve"> </w:t>
      </w:r>
    </w:p>
    <w:p w14:paraId="4F7BE6DD" w14:textId="77777777" w:rsidR="000A320D" w:rsidRPr="00B54523" w:rsidRDefault="000A320D" w:rsidP="000A320D">
      <w:pPr>
        <w:pStyle w:val="CM1"/>
        <w:ind w:left="465"/>
        <w:jc w:val="both"/>
        <w:rPr>
          <w:rFonts w:ascii="Calibri" w:eastAsiaTheme="majorEastAsia" w:hAnsi="Calibri"/>
          <w:color w:val="2F5496" w:themeColor="accent1" w:themeShade="BF"/>
          <w:sz w:val="22"/>
          <w:szCs w:val="22"/>
          <w:lang w:val="ro-RO"/>
        </w:rPr>
      </w:pPr>
    </w:p>
    <w:p w14:paraId="5F548287" w14:textId="77777777" w:rsidR="000A320D" w:rsidRPr="00B54523" w:rsidRDefault="000A320D" w:rsidP="000A320D">
      <w:pPr>
        <w:pStyle w:val="CM1"/>
        <w:numPr>
          <w:ilvl w:val="1"/>
          <w:numId w:val="10"/>
        </w:numPr>
        <w:jc w:val="both"/>
        <w:rPr>
          <w:rStyle w:val="IntenseEmphasis"/>
          <w:rFonts w:asciiTheme="minorHAnsi" w:hAnsiTheme="minorHAnsi"/>
          <w:i w:val="0"/>
          <w:iCs w:val="0"/>
          <w:sz w:val="22"/>
          <w:szCs w:val="22"/>
          <w:lang w:val="ro-RO"/>
        </w:rPr>
      </w:pPr>
      <w:bookmarkStart w:id="18" w:name="_Toc144910477"/>
      <w:r w:rsidRPr="00B54523">
        <w:rPr>
          <w:rFonts w:ascii="Calibri" w:eastAsiaTheme="majorEastAsia" w:hAnsi="Calibri"/>
          <w:color w:val="2F5496" w:themeColor="accent1" w:themeShade="BF"/>
          <w:sz w:val="22"/>
          <w:szCs w:val="22"/>
          <w:lang w:val="ro-RO"/>
        </w:rPr>
        <w:t>Orice</w:t>
      </w:r>
      <w:r w:rsidRPr="00B54523">
        <w:rPr>
          <w:rFonts w:ascii="Calibri" w:eastAsiaTheme="majorEastAsia" w:hAnsi="Calibri"/>
          <w:iCs/>
          <w:color w:val="2F5496" w:themeColor="accent1" w:themeShade="BF"/>
          <w:sz w:val="22"/>
          <w:szCs w:val="22"/>
          <w:lang w:val="ro-RO"/>
        </w:rPr>
        <w:t xml:space="preserve"> informații</w:t>
      </w:r>
      <w:r w:rsidRPr="00B54523">
        <w:rPr>
          <w:rFonts w:ascii="Calibri" w:eastAsiaTheme="majorEastAsia" w:hAnsi="Calibri"/>
          <w:color w:val="2F5496" w:themeColor="accent1" w:themeShade="BF"/>
          <w:sz w:val="22"/>
          <w:szCs w:val="22"/>
          <w:lang w:val="ro-RO"/>
        </w:rPr>
        <w:t xml:space="preserve"> suplimentare relevante</w:t>
      </w:r>
      <w:bookmarkEnd w:id="18"/>
      <w:r w:rsidRPr="00B54523">
        <w:rPr>
          <w:rStyle w:val="IntenseEmphasis"/>
          <w:rFonts w:asciiTheme="minorHAnsi" w:hAnsiTheme="minorHAnsi"/>
          <w:i w:val="0"/>
          <w:iCs w:val="0"/>
          <w:sz w:val="22"/>
          <w:szCs w:val="22"/>
          <w:lang w:val="ro-RO"/>
        </w:rPr>
        <w:t xml:space="preserve"> </w:t>
      </w:r>
    </w:p>
    <w:p w14:paraId="48205181" w14:textId="77777777" w:rsidR="000A320D" w:rsidRPr="00B54523" w:rsidRDefault="000A320D" w:rsidP="000A320D">
      <w:pPr>
        <w:jc w:val="both"/>
        <w:rPr>
          <w:rFonts w:asciiTheme="minorHAnsi" w:hAnsiTheme="minorHAnsi"/>
          <w:b/>
          <w:bCs/>
          <w:sz w:val="22"/>
          <w:szCs w:val="22"/>
          <w:lang w:val="ro-RO"/>
        </w:rPr>
      </w:pPr>
      <w:r w:rsidRPr="00B54523">
        <w:rPr>
          <w:rFonts w:asciiTheme="minorHAnsi" w:hAnsiTheme="minorHAnsi"/>
          <w:sz w:val="22"/>
          <w:szCs w:val="22"/>
          <w:lang w:val="ro-RO"/>
        </w:rPr>
        <w:t>Se vor avea în vedere următoarele:</w:t>
      </w:r>
    </w:p>
    <w:p w14:paraId="1AE3A140"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Orice alte aspecte pertinente impuse de prezentele orientări și de alte referințe aplicabile</w:t>
      </w:r>
    </w:p>
    <w:p w14:paraId="29ADD07E"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Descrierea oricăror sarcini legate de imunizarea la schimbările climatice care sunt amânate într-o etapă ulterioară a dezvoltării proiectului, de exemplu care urmează să fie îndeplinite de contractant pe durata construcției sau de administratorul activelor pe durata operațiunii, inclusiv costurile estimate aferente</w:t>
      </w:r>
    </w:p>
    <w:p w14:paraId="0C244D1D"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 xml:space="preserve"> Lista documentelor publicate (de exemplu referitoare la EIM și la alte evaluări de mediu)</w:t>
      </w:r>
    </w:p>
    <w:p w14:paraId="67AF151E" w14:textId="77777777" w:rsidR="000A320D" w:rsidRPr="00B54523" w:rsidRDefault="000A320D" w:rsidP="000A320D">
      <w:pPr>
        <w:pStyle w:val="ListParagraph"/>
        <w:numPr>
          <w:ilvl w:val="0"/>
          <w:numId w:val="11"/>
        </w:numPr>
        <w:jc w:val="both"/>
        <w:rPr>
          <w:rFonts w:asciiTheme="minorHAnsi" w:hAnsiTheme="minorHAnsi"/>
          <w:b/>
          <w:bCs/>
          <w:sz w:val="22"/>
          <w:szCs w:val="22"/>
          <w:lang w:val="ro-RO"/>
        </w:rPr>
      </w:pPr>
      <w:r w:rsidRPr="00B54523">
        <w:rPr>
          <w:rFonts w:asciiTheme="minorHAnsi" w:hAnsiTheme="minorHAnsi"/>
          <w:sz w:val="22"/>
          <w:szCs w:val="22"/>
          <w:lang w:val="ro-RO"/>
        </w:rPr>
        <w:t>Lista documentelor-cheie disponibile la solicitantul proiectului.</w:t>
      </w:r>
    </w:p>
    <w:p w14:paraId="43A16B2B" w14:textId="77777777" w:rsidR="007F4665" w:rsidRPr="002F6C85" w:rsidRDefault="007F4665" w:rsidP="00C441A9">
      <w:pPr>
        <w:jc w:val="both"/>
        <w:rPr>
          <w:rFonts w:asciiTheme="minorHAnsi" w:hAnsiTheme="minorHAnsi"/>
          <w:b/>
          <w:sz w:val="22"/>
          <w:szCs w:val="22"/>
          <w:u w:val="single"/>
          <w:lang w:val="ro-RO"/>
        </w:rPr>
      </w:pPr>
    </w:p>
    <w:bookmarkEnd w:id="4"/>
    <w:sectPr w:rsidR="007F4665" w:rsidRPr="002F6C85" w:rsidSect="00FC7275">
      <w:headerReference w:type="default" r:id="rId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D9F5" w14:textId="77777777" w:rsidR="00A445D2" w:rsidRDefault="00A445D2" w:rsidP="009928F9">
      <w:r>
        <w:separator/>
      </w:r>
    </w:p>
  </w:endnote>
  <w:endnote w:type="continuationSeparator" w:id="0">
    <w:p w14:paraId="5C72768E" w14:textId="77777777" w:rsidR="00A445D2" w:rsidRDefault="00A445D2" w:rsidP="0099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 Albertina">
    <w:altName w:val="Times New Roman"/>
    <w:panose1 w:val="00000000000000000000"/>
    <w:charset w:val="00"/>
    <w:family w:val="roman"/>
    <w:notTrueType/>
    <w:pitch w:val="default"/>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4621" w14:textId="77777777" w:rsidR="00A445D2" w:rsidRDefault="00A445D2" w:rsidP="009928F9">
      <w:r>
        <w:separator/>
      </w:r>
    </w:p>
  </w:footnote>
  <w:footnote w:type="continuationSeparator" w:id="0">
    <w:p w14:paraId="4FE54ED9" w14:textId="77777777" w:rsidR="00A445D2" w:rsidRDefault="00A445D2" w:rsidP="0099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C6CD" w14:textId="5CD16848" w:rsidR="00757987" w:rsidRPr="009677B7" w:rsidRDefault="00F511A8" w:rsidP="009677B7">
    <w:pPr>
      <w:pStyle w:val="Header"/>
      <w:jc w:val="right"/>
      <w:rPr>
        <w:i/>
        <w:color w:val="4472C4"/>
        <w:sz w:val="22"/>
        <w:szCs w:val="22"/>
        <w:lang w:val="ro-RO"/>
      </w:rPr>
    </w:pPr>
    <w:r w:rsidRPr="009677B7">
      <w:rPr>
        <w:rFonts w:asciiTheme="minorHAnsi" w:hAnsiTheme="minorHAnsi"/>
        <w:b/>
        <w:i/>
        <w:color w:val="4472C4"/>
        <w:sz w:val="22"/>
        <w:szCs w:val="22"/>
        <w:lang w:val="ro-RO"/>
      </w:rPr>
      <w:t xml:space="preserve">Anexa </w:t>
    </w:r>
    <w:r w:rsidR="00EA52B8">
      <w:rPr>
        <w:rFonts w:asciiTheme="minorHAnsi" w:hAnsiTheme="minorHAnsi"/>
        <w:b/>
        <w:i/>
        <w:color w:val="4472C4"/>
        <w:sz w:val="22"/>
        <w:szCs w:val="22"/>
        <w:lang w:val="ro-RO"/>
      </w:rPr>
      <w:t>22</w:t>
    </w:r>
    <w:r w:rsidR="00E33D05" w:rsidRPr="009677B7">
      <w:rPr>
        <w:rFonts w:asciiTheme="minorHAnsi" w:hAnsiTheme="minorHAnsi"/>
        <w:b/>
        <w:i/>
        <w:color w:val="4472C4"/>
        <w:sz w:val="22"/>
        <w:szCs w:val="22"/>
        <w:lang w:val="ro-RO"/>
      </w:rPr>
      <w:t xml:space="preserve"> – </w:t>
    </w:r>
    <w:r w:rsidR="008A6262" w:rsidRPr="009677B7">
      <w:rPr>
        <w:rFonts w:asciiTheme="minorHAnsi" w:hAnsiTheme="minorHAnsi"/>
        <w:b/>
        <w:i/>
        <w:color w:val="4472C4"/>
        <w:sz w:val="22"/>
        <w:szCs w:val="22"/>
        <w:lang w:val="ro-RO"/>
      </w:rPr>
      <w:t>Metodologia privind imunizarea la schimbările climatice</w:t>
    </w:r>
    <w:r w:rsidR="00757987" w:rsidRPr="009677B7">
      <w:rPr>
        <w:i/>
        <w:color w:val="4472C4"/>
        <w:sz w:val="22"/>
        <w:szCs w:val="22"/>
        <w:lang w:val="ro-RO"/>
      </w:rPr>
      <w:t xml:space="preserve"> </w:t>
    </w:r>
  </w:p>
  <w:p w14:paraId="0F827D9A" w14:textId="26B18C49" w:rsidR="008A6262" w:rsidRPr="009677B7" w:rsidRDefault="00757987" w:rsidP="009677B7">
    <w:pPr>
      <w:pStyle w:val="Header"/>
      <w:jc w:val="right"/>
      <w:rPr>
        <w:rFonts w:asciiTheme="minorHAnsi" w:hAnsiTheme="minorHAnsi"/>
        <w:b/>
        <w:i/>
        <w:color w:val="4472C4"/>
        <w:sz w:val="22"/>
        <w:szCs w:val="22"/>
        <w:lang w:val="ro-RO"/>
      </w:rPr>
    </w:pPr>
    <w:r w:rsidRPr="009677B7">
      <w:rPr>
        <w:b/>
        <w:i/>
        <w:color w:val="4472C4"/>
        <w:sz w:val="22"/>
        <w:szCs w:val="22"/>
        <w:lang w:val="ro-RO"/>
      </w:rPr>
      <w:t>(</w:t>
    </w:r>
    <w:r w:rsidRPr="009677B7">
      <w:rPr>
        <w:rFonts w:asciiTheme="minorHAnsi" w:hAnsiTheme="minorHAnsi"/>
        <w:b/>
        <w:i/>
        <w:color w:val="4472C4"/>
        <w:sz w:val="22"/>
        <w:szCs w:val="22"/>
        <w:lang w:val="ro-RO"/>
      </w:rPr>
      <w:t xml:space="preserve">se aplică doar pentru proiectele </w:t>
    </w:r>
    <w:r w:rsidR="0023254F" w:rsidRPr="009677B7">
      <w:rPr>
        <w:rFonts w:asciiTheme="minorHAnsi" w:hAnsiTheme="minorHAnsi"/>
        <w:b/>
        <w:i/>
        <w:color w:val="4472C4"/>
        <w:sz w:val="22"/>
        <w:szCs w:val="22"/>
        <w:lang w:val="ro-RO"/>
      </w:rPr>
      <w:t xml:space="preserve">de infrastructură </w:t>
    </w:r>
    <w:r w:rsidR="00E90E65" w:rsidRPr="009677B7">
      <w:rPr>
        <w:rFonts w:asciiTheme="minorHAnsi" w:hAnsiTheme="minorHAnsi"/>
        <w:b/>
        <w:i/>
        <w:color w:val="4472C4"/>
        <w:sz w:val="22"/>
        <w:szCs w:val="22"/>
        <w:lang w:val="ro-RO"/>
      </w:rPr>
      <w:t>cu o durată de viață preconizată de cel puțin cinci ani</w:t>
    </w:r>
    <w:r w:rsidRPr="009677B7">
      <w:rPr>
        <w:rFonts w:asciiTheme="minorHAnsi" w:hAnsiTheme="minorHAnsi"/>
        <w:b/>
        <w:i/>
        <w:color w:val="4472C4"/>
        <w:sz w:val="22"/>
        <w:szCs w:val="22"/>
        <w:lang w:val="ro-RO"/>
      </w:rPr>
      <w:t>)</w:t>
    </w:r>
  </w:p>
  <w:p w14:paraId="17C065DC" w14:textId="77777777" w:rsidR="00757987" w:rsidRPr="00D04912" w:rsidRDefault="00757987" w:rsidP="004E0E58">
    <w:pPr>
      <w:pStyle w:val="Header"/>
      <w:jc w:val="center"/>
      <w:rPr>
        <w:b/>
        <w:color w:val="0070C0"/>
        <w:sz w:val="22"/>
        <w:szCs w:val="22"/>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74"/>
    <w:multiLevelType w:val="hybridMultilevel"/>
    <w:tmpl w:val="670A4A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6C2B94"/>
    <w:multiLevelType w:val="multilevel"/>
    <w:tmpl w:val="8466B3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7A5894"/>
    <w:multiLevelType w:val="hybridMultilevel"/>
    <w:tmpl w:val="CE8682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16F87"/>
    <w:multiLevelType w:val="hybridMultilevel"/>
    <w:tmpl w:val="A042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61C58"/>
    <w:multiLevelType w:val="hybridMultilevel"/>
    <w:tmpl w:val="26142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1181F"/>
    <w:multiLevelType w:val="hybridMultilevel"/>
    <w:tmpl w:val="314229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226B8"/>
    <w:multiLevelType w:val="hybridMultilevel"/>
    <w:tmpl w:val="253E13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60451"/>
    <w:multiLevelType w:val="hybridMultilevel"/>
    <w:tmpl w:val="0FC09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90FAF"/>
    <w:multiLevelType w:val="hybridMultilevel"/>
    <w:tmpl w:val="A10CE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76E41"/>
    <w:multiLevelType w:val="hybridMultilevel"/>
    <w:tmpl w:val="0C7070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B7396"/>
    <w:multiLevelType w:val="hybridMultilevel"/>
    <w:tmpl w:val="2DDA4C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C30C8"/>
    <w:multiLevelType w:val="multilevel"/>
    <w:tmpl w:val="7D7A4B3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BD4ED0"/>
    <w:multiLevelType w:val="hybridMultilevel"/>
    <w:tmpl w:val="65AACB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816FB9"/>
    <w:multiLevelType w:val="multilevel"/>
    <w:tmpl w:val="7D7A4B3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885FFD"/>
    <w:multiLevelType w:val="hybridMultilevel"/>
    <w:tmpl w:val="D2C69AB6"/>
    <w:lvl w:ilvl="0" w:tplc="6A2C8586">
      <w:start w:val="2"/>
      <w:numFmt w:val="bullet"/>
      <w:lvlText w:val="-"/>
      <w:lvlJc w:val="left"/>
      <w:pPr>
        <w:ind w:left="720" w:hanging="360"/>
      </w:pPr>
      <w:rPr>
        <w:rFonts w:ascii="EU Albertina" w:eastAsiaTheme="minorHAnsi" w:hAnsi="EU Albertina" w:cs="EU Alberti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45231"/>
    <w:multiLevelType w:val="hybridMultilevel"/>
    <w:tmpl w:val="E91680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C7A06"/>
    <w:multiLevelType w:val="hybridMultilevel"/>
    <w:tmpl w:val="F71A51E4"/>
    <w:lvl w:ilvl="0" w:tplc="3D8ECB3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523B0"/>
    <w:multiLevelType w:val="hybridMultilevel"/>
    <w:tmpl w:val="F2ECF264"/>
    <w:lvl w:ilvl="0" w:tplc="FECC97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8357B"/>
    <w:multiLevelType w:val="hybridMultilevel"/>
    <w:tmpl w:val="E166C880"/>
    <w:lvl w:ilvl="0" w:tplc="6D0CEB1C">
      <w:numFmt w:val="bullet"/>
      <w:lvlText w:val="—"/>
      <w:lvlJc w:val="left"/>
      <w:pPr>
        <w:ind w:left="304" w:hanging="301"/>
      </w:pPr>
      <w:rPr>
        <w:rFonts w:ascii="Cambria" w:eastAsia="Cambria" w:hAnsi="Cambria" w:cs="Cambria" w:hint="default"/>
        <w:color w:val="231F20"/>
        <w:w w:val="95"/>
        <w:sz w:val="19"/>
        <w:szCs w:val="19"/>
        <w:lang w:val="ro-RO" w:eastAsia="en-US" w:bidi="ar-SA"/>
      </w:rPr>
    </w:lvl>
    <w:lvl w:ilvl="1" w:tplc="59B617E8">
      <w:numFmt w:val="bullet"/>
      <w:lvlText w:val="•"/>
      <w:lvlJc w:val="left"/>
      <w:pPr>
        <w:ind w:left="730" w:hanging="301"/>
      </w:pPr>
      <w:rPr>
        <w:rFonts w:hint="default"/>
        <w:lang w:val="ro-RO" w:eastAsia="en-US" w:bidi="ar-SA"/>
      </w:rPr>
    </w:lvl>
    <w:lvl w:ilvl="2" w:tplc="6602EB98">
      <w:numFmt w:val="bullet"/>
      <w:lvlText w:val="•"/>
      <w:lvlJc w:val="left"/>
      <w:pPr>
        <w:ind w:left="1161" w:hanging="301"/>
      </w:pPr>
      <w:rPr>
        <w:rFonts w:hint="default"/>
        <w:lang w:val="ro-RO" w:eastAsia="en-US" w:bidi="ar-SA"/>
      </w:rPr>
    </w:lvl>
    <w:lvl w:ilvl="3" w:tplc="AB2E7172">
      <w:numFmt w:val="bullet"/>
      <w:lvlText w:val="•"/>
      <w:lvlJc w:val="left"/>
      <w:pPr>
        <w:ind w:left="1591" w:hanging="301"/>
      </w:pPr>
      <w:rPr>
        <w:rFonts w:hint="default"/>
        <w:lang w:val="ro-RO" w:eastAsia="en-US" w:bidi="ar-SA"/>
      </w:rPr>
    </w:lvl>
    <w:lvl w:ilvl="4" w:tplc="BB7C32E2">
      <w:numFmt w:val="bullet"/>
      <w:lvlText w:val="•"/>
      <w:lvlJc w:val="left"/>
      <w:pPr>
        <w:ind w:left="2022" w:hanging="301"/>
      </w:pPr>
      <w:rPr>
        <w:rFonts w:hint="default"/>
        <w:lang w:val="ro-RO" w:eastAsia="en-US" w:bidi="ar-SA"/>
      </w:rPr>
    </w:lvl>
    <w:lvl w:ilvl="5" w:tplc="6D3E54EE">
      <w:numFmt w:val="bullet"/>
      <w:lvlText w:val="•"/>
      <w:lvlJc w:val="left"/>
      <w:pPr>
        <w:ind w:left="2452" w:hanging="301"/>
      </w:pPr>
      <w:rPr>
        <w:rFonts w:hint="default"/>
        <w:lang w:val="ro-RO" w:eastAsia="en-US" w:bidi="ar-SA"/>
      </w:rPr>
    </w:lvl>
    <w:lvl w:ilvl="6" w:tplc="86004A24">
      <w:numFmt w:val="bullet"/>
      <w:lvlText w:val="•"/>
      <w:lvlJc w:val="left"/>
      <w:pPr>
        <w:ind w:left="2883" w:hanging="301"/>
      </w:pPr>
      <w:rPr>
        <w:rFonts w:hint="default"/>
        <w:lang w:val="ro-RO" w:eastAsia="en-US" w:bidi="ar-SA"/>
      </w:rPr>
    </w:lvl>
    <w:lvl w:ilvl="7" w:tplc="D7E2A9C2">
      <w:numFmt w:val="bullet"/>
      <w:lvlText w:val="•"/>
      <w:lvlJc w:val="left"/>
      <w:pPr>
        <w:ind w:left="3313" w:hanging="301"/>
      </w:pPr>
      <w:rPr>
        <w:rFonts w:hint="default"/>
        <w:lang w:val="ro-RO" w:eastAsia="en-US" w:bidi="ar-SA"/>
      </w:rPr>
    </w:lvl>
    <w:lvl w:ilvl="8" w:tplc="F48E878E">
      <w:numFmt w:val="bullet"/>
      <w:lvlText w:val="•"/>
      <w:lvlJc w:val="left"/>
      <w:pPr>
        <w:ind w:left="3744" w:hanging="301"/>
      </w:pPr>
      <w:rPr>
        <w:rFonts w:hint="default"/>
        <w:lang w:val="ro-RO" w:eastAsia="en-US" w:bidi="ar-SA"/>
      </w:rPr>
    </w:lvl>
  </w:abstractNum>
  <w:abstractNum w:abstractNumId="19" w15:restartNumberingAfterBreak="0">
    <w:nsid w:val="6A367253"/>
    <w:multiLevelType w:val="hybridMultilevel"/>
    <w:tmpl w:val="AF20DADE"/>
    <w:lvl w:ilvl="0" w:tplc="D464AFB8">
      <w:start w:val="2"/>
      <w:numFmt w:val="bullet"/>
      <w:lvlText w:val="-"/>
      <w:lvlJc w:val="left"/>
      <w:pPr>
        <w:ind w:left="720" w:hanging="360"/>
      </w:pPr>
      <w:rPr>
        <w:rFonts w:ascii="EU Albertina" w:eastAsiaTheme="minorHAnsi" w:hAnsi="EU Albertina" w:cs="EU Alberti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E66E2"/>
    <w:multiLevelType w:val="multilevel"/>
    <w:tmpl w:val="2E54CB3E"/>
    <w:lvl w:ilvl="0">
      <w:start w:val="1"/>
      <w:numFmt w:val="decimal"/>
      <w:lvlText w:val="%1."/>
      <w:lvlJc w:val="left"/>
      <w:pPr>
        <w:ind w:left="435" w:hanging="360"/>
      </w:pPr>
      <w:rPr>
        <w:rFonts w:hint="default"/>
      </w:rPr>
    </w:lvl>
    <w:lvl w:ilvl="1">
      <w:start w:val="1"/>
      <w:numFmt w:val="decimal"/>
      <w:isLgl/>
      <w:lvlText w:val="%1.%2"/>
      <w:lvlJc w:val="left"/>
      <w:pPr>
        <w:ind w:left="465" w:hanging="390"/>
      </w:pPr>
      <w:rPr>
        <w:rFonts w:hint="default"/>
        <w:b w:val="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1875" w:hanging="1800"/>
      </w:pPr>
      <w:rPr>
        <w:rFonts w:hint="default"/>
      </w:rPr>
    </w:lvl>
  </w:abstractNum>
  <w:abstractNum w:abstractNumId="21" w15:restartNumberingAfterBreak="0">
    <w:nsid w:val="6B903458"/>
    <w:multiLevelType w:val="hybridMultilevel"/>
    <w:tmpl w:val="58681FA4"/>
    <w:lvl w:ilvl="0" w:tplc="072461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17136"/>
    <w:multiLevelType w:val="hybridMultilevel"/>
    <w:tmpl w:val="10004B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6027BA"/>
    <w:multiLevelType w:val="hybridMultilevel"/>
    <w:tmpl w:val="0EBA694E"/>
    <w:lvl w:ilvl="0" w:tplc="04090013">
      <w:start w:val="1"/>
      <w:numFmt w:val="upperRoman"/>
      <w:lvlText w:val="%1."/>
      <w:lvlJc w:val="right"/>
      <w:pPr>
        <w:ind w:left="720" w:hanging="360"/>
      </w:pPr>
    </w:lvl>
    <w:lvl w:ilvl="1" w:tplc="59D6043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543C4"/>
    <w:multiLevelType w:val="multilevel"/>
    <w:tmpl w:val="7D7A4B3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3C26D9"/>
    <w:multiLevelType w:val="hybridMultilevel"/>
    <w:tmpl w:val="70B8A6AE"/>
    <w:lvl w:ilvl="0" w:tplc="20AE31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7383B"/>
    <w:multiLevelType w:val="hybridMultilevel"/>
    <w:tmpl w:val="701AEFE6"/>
    <w:lvl w:ilvl="0" w:tplc="F870A9AA">
      <w:start w:val="2"/>
      <w:numFmt w:val="bullet"/>
      <w:lvlText w:val="-"/>
      <w:lvlJc w:val="left"/>
      <w:pPr>
        <w:ind w:left="720" w:hanging="360"/>
      </w:pPr>
      <w:rPr>
        <w:rFonts w:ascii="Calibri" w:eastAsiaTheme="minorHAnsi" w:hAnsi="Calibri" w:cs="Calibri" w:hint="default"/>
        <w:b/>
        <w:color w:val="00000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C3266"/>
    <w:multiLevelType w:val="multilevel"/>
    <w:tmpl w:val="7D7A4B3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E91452"/>
    <w:multiLevelType w:val="hybridMultilevel"/>
    <w:tmpl w:val="6DC6B728"/>
    <w:lvl w:ilvl="0" w:tplc="15C0BDE4">
      <w:numFmt w:val="bullet"/>
      <w:lvlText w:val="—"/>
      <w:lvlJc w:val="left"/>
      <w:pPr>
        <w:ind w:left="389" w:hanging="301"/>
      </w:pPr>
      <w:rPr>
        <w:rFonts w:ascii="Cambria" w:eastAsia="Cambria" w:hAnsi="Cambria" w:cs="Cambria" w:hint="default"/>
        <w:color w:val="231F20"/>
        <w:w w:val="95"/>
        <w:sz w:val="19"/>
        <w:szCs w:val="19"/>
        <w:lang w:val="ro-RO" w:eastAsia="en-US" w:bidi="ar-SA"/>
      </w:rPr>
    </w:lvl>
    <w:lvl w:ilvl="1" w:tplc="4DCE58DE">
      <w:numFmt w:val="bullet"/>
      <w:lvlText w:val="•"/>
      <w:lvlJc w:val="left"/>
      <w:pPr>
        <w:ind w:left="801" w:hanging="301"/>
      </w:pPr>
      <w:rPr>
        <w:rFonts w:hint="default"/>
        <w:lang w:val="ro-RO" w:eastAsia="en-US" w:bidi="ar-SA"/>
      </w:rPr>
    </w:lvl>
    <w:lvl w:ilvl="2" w:tplc="AABECDBA">
      <w:numFmt w:val="bullet"/>
      <w:lvlText w:val="•"/>
      <w:lvlJc w:val="left"/>
      <w:pPr>
        <w:ind w:left="1223" w:hanging="301"/>
      </w:pPr>
      <w:rPr>
        <w:rFonts w:hint="default"/>
        <w:lang w:val="ro-RO" w:eastAsia="en-US" w:bidi="ar-SA"/>
      </w:rPr>
    </w:lvl>
    <w:lvl w:ilvl="3" w:tplc="F4064568">
      <w:numFmt w:val="bullet"/>
      <w:lvlText w:val="•"/>
      <w:lvlJc w:val="left"/>
      <w:pPr>
        <w:ind w:left="1645" w:hanging="301"/>
      </w:pPr>
      <w:rPr>
        <w:rFonts w:hint="default"/>
        <w:lang w:val="ro-RO" w:eastAsia="en-US" w:bidi="ar-SA"/>
      </w:rPr>
    </w:lvl>
    <w:lvl w:ilvl="4" w:tplc="2BF81244">
      <w:numFmt w:val="bullet"/>
      <w:lvlText w:val="•"/>
      <w:lvlJc w:val="left"/>
      <w:pPr>
        <w:ind w:left="2066" w:hanging="301"/>
      </w:pPr>
      <w:rPr>
        <w:rFonts w:hint="default"/>
        <w:lang w:val="ro-RO" w:eastAsia="en-US" w:bidi="ar-SA"/>
      </w:rPr>
    </w:lvl>
    <w:lvl w:ilvl="5" w:tplc="120A7FD6">
      <w:numFmt w:val="bullet"/>
      <w:lvlText w:val="•"/>
      <w:lvlJc w:val="left"/>
      <w:pPr>
        <w:ind w:left="2488" w:hanging="301"/>
      </w:pPr>
      <w:rPr>
        <w:rFonts w:hint="default"/>
        <w:lang w:val="ro-RO" w:eastAsia="en-US" w:bidi="ar-SA"/>
      </w:rPr>
    </w:lvl>
    <w:lvl w:ilvl="6" w:tplc="BA607090">
      <w:numFmt w:val="bullet"/>
      <w:lvlText w:val="•"/>
      <w:lvlJc w:val="left"/>
      <w:pPr>
        <w:ind w:left="2910" w:hanging="301"/>
      </w:pPr>
      <w:rPr>
        <w:rFonts w:hint="default"/>
        <w:lang w:val="ro-RO" w:eastAsia="en-US" w:bidi="ar-SA"/>
      </w:rPr>
    </w:lvl>
    <w:lvl w:ilvl="7" w:tplc="E6F8562E">
      <w:numFmt w:val="bullet"/>
      <w:lvlText w:val="•"/>
      <w:lvlJc w:val="left"/>
      <w:pPr>
        <w:ind w:left="3331" w:hanging="301"/>
      </w:pPr>
      <w:rPr>
        <w:rFonts w:hint="default"/>
        <w:lang w:val="ro-RO" w:eastAsia="en-US" w:bidi="ar-SA"/>
      </w:rPr>
    </w:lvl>
    <w:lvl w:ilvl="8" w:tplc="BDF88CBA">
      <w:numFmt w:val="bullet"/>
      <w:lvlText w:val="•"/>
      <w:lvlJc w:val="left"/>
      <w:pPr>
        <w:ind w:left="3753" w:hanging="301"/>
      </w:pPr>
      <w:rPr>
        <w:rFonts w:hint="default"/>
        <w:lang w:val="ro-RO" w:eastAsia="en-US" w:bidi="ar-SA"/>
      </w:rPr>
    </w:lvl>
  </w:abstractNum>
  <w:num w:numId="1" w16cid:durableId="887761789">
    <w:abstractNumId w:val="0"/>
  </w:num>
  <w:num w:numId="2" w16cid:durableId="1165779193">
    <w:abstractNumId w:val="10"/>
  </w:num>
  <w:num w:numId="3" w16cid:durableId="1872495974">
    <w:abstractNumId w:val="9"/>
  </w:num>
  <w:num w:numId="4" w16cid:durableId="907150981">
    <w:abstractNumId w:val="17"/>
  </w:num>
  <w:num w:numId="5" w16cid:durableId="172889214">
    <w:abstractNumId w:val="5"/>
  </w:num>
  <w:num w:numId="6" w16cid:durableId="661011770">
    <w:abstractNumId w:val="22"/>
  </w:num>
  <w:num w:numId="7" w16cid:durableId="1211772357">
    <w:abstractNumId w:val="4"/>
  </w:num>
  <w:num w:numId="8" w16cid:durableId="1947231229">
    <w:abstractNumId w:val="11"/>
  </w:num>
  <w:num w:numId="9" w16cid:durableId="415371372">
    <w:abstractNumId w:val="12"/>
  </w:num>
  <w:num w:numId="10" w16cid:durableId="1301881869">
    <w:abstractNumId w:val="20"/>
  </w:num>
  <w:num w:numId="11" w16cid:durableId="1299069465">
    <w:abstractNumId w:val="6"/>
  </w:num>
  <w:num w:numId="12" w16cid:durableId="712464127">
    <w:abstractNumId w:val="25"/>
  </w:num>
  <w:num w:numId="13" w16cid:durableId="462767813">
    <w:abstractNumId w:val="13"/>
  </w:num>
  <w:num w:numId="14" w16cid:durableId="1881353694">
    <w:abstractNumId w:val="1"/>
  </w:num>
  <w:num w:numId="15" w16cid:durableId="1795638315">
    <w:abstractNumId w:val="15"/>
  </w:num>
  <w:num w:numId="16" w16cid:durableId="1774472231">
    <w:abstractNumId w:val="3"/>
  </w:num>
  <w:num w:numId="17" w16cid:durableId="281113628">
    <w:abstractNumId w:val="16"/>
  </w:num>
  <w:num w:numId="18" w16cid:durableId="1696231201">
    <w:abstractNumId w:val="23"/>
  </w:num>
  <w:num w:numId="19" w16cid:durableId="593515548">
    <w:abstractNumId w:val="27"/>
  </w:num>
  <w:num w:numId="20" w16cid:durableId="35857960">
    <w:abstractNumId w:val="8"/>
  </w:num>
  <w:num w:numId="21" w16cid:durableId="416246220">
    <w:abstractNumId w:val="21"/>
  </w:num>
  <w:num w:numId="22" w16cid:durableId="738333999">
    <w:abstractNumId w:val="24"/>
  </w:num>
  <w:num w:numId="23" w16cid:durableId="805321164">
    <w:abstractNumId w:val="2"/>
  </w:num>
  <w:num w:numId="24" w16cid:durableId="208301665">
    <w:abstractNumId w:val="28"/>
  </w:num>
  <w:num w:numId="25" w16cid:durableId="1824350612">
    <w:abstractNumId w:val="18"/>
  </w:num>
  <w:num w:numId="26" w16cid:durableId="1803226567">
    <w:abstractNumId w:val="7"/>
  </w:num>
  <w:num w:numId="27" w16cid:durableId="1166018070">
    <w:abstractNumId w:val="19"/>
  </w:num>
  <w:num w:numId="28" w16cid:durableId="878278880">
    <w:abstractNumId w:val="14"/>
  </w:num>
  <w:num w:numId="29" w16cid:durableId="9076175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93"/>
    <w:rsid w:val="00007542"/>
    <w:rsid w:val="00007EE2"/>
    <w:rsid w:val="0003573D"/>
    <w:rsid w:val="000373BA"/>
    <w:rsid w:val="00056311"/>
    <w:rsid w:val="00064493"/>
    <w:rsid w:val="00073324"/>
    <w:rsid w:val="00077734"/>
    <w:rsid w:val="00083380"/>
    <w:rsid w:val="000A320D"/>
    <w:rsid w:val="000A727D"/>
    <w:rsid w:val="000F51CA"/>
    <w:rsid w:val="000F7B4B"/>
    <w:rsid w:val="00102526"/>
    <w:rsid w:val="0010659C"/>
    <w:rsid w:val="001804D4"/>
    <w:rsid w:val="00194097"/>
    <w:rsid w:val="001D3208"/>
    <w:rsid w:val="001D7B4C"/>
    <w:rsid w:val="002106F9"/>
    <w:rsid w:val="0023254F"/>
    <w:rsid w:val="002B11E4"/>
    <w:rsid w:val="002C390E"/>
    <w:rsid w:val="002F6C85"/>
    <w:rsid w:val="003021E5"/>
    <w:rsid w:val="00306680"/>
    <w:rsid w:val="00327593"/>
    <w:rsid w:val="00350EE0"/>
    <w:rsid w:val="00355AFB"/>
    <w:rsid w:val="0035653D"/>
    <w:rsid w:val="0035767C"/>
    <w:rsid w:val="0038014B"/>
    <w:rsid w:val="00383106"/>
    <w:rsid w:val="003B4AF5"/>
    <w:rsid w:val="003C1F53"/>
    <w:rsid w:val="003D309E"/>
    <w:rsid w:val="003F3E11"/>
    <w:rsid w:val="003F50FD"/>
    <w:rsid w:val="0041329B"/>
    <w:rsid w:val="00413D79"/>
    <w:rsid w:val="00416ED5"/>
    <w:rsid w:val="00420DA5"/>
    <w:rsid w:val="00443F64"/>
    <w:rsid w:val="00496F95"/>
    <w:rsid w:val="004A60B7"/>
    <w:rsid w:val="004B2DF6"/>
    <w:rsid w:val="004E0E58"/>
    <w:rsid w:val="00510854"/>
    <w:rsid w:val="00515CAF"/>
    <w:rsid w:val="00520A3B"/>
    <w:rsid w:val="00553642"/>
    <w:rsid w:val="00555EE0"/>
    <w:rsid w:val="00594D94"/>
    <w:rsid w:val="005A0B42"/>
    <w:rsid w:val="005B0CDC"/>
    <w:rsid w:val="005B6677"/>
    <w:rsid w:val="005C3465"/>
    <w:rsid w:val="005C75B5"/>
    <w:rsid w:val="0060463A"/>
    <w:rsid w:val="00616529"/>
    <w:rsid w:val="006356F2"/>
    <w:rsid w:val="00641F9B"/>
    <w:rsid w:val="00642803"/>
    <w:rsid w:val="00650C03"/>
    <w:rsid w:val="00660F19"/>
    <w:rsid w:val="006726F6"/>
    <w:rsid w:val="00684ADA"/>
    <w:rsid w:val="006C3D25"/>
    <w:rsid w:val="00704614"/>
    <w:rsid w:val="007205CD"/>
    <w:rsid w:val="00734948"/>
    <w:rsid w:val="0075268E"/>
    <w:rsid w:val="00757987"/>
    <w:rsid w:val="00764EFD"/>
    <w:rsid w:val="007909BB"/>
    <w:rsid w:val="00797FBF"/>
    <w:rsid w:val="007B117C"/>
    <w:rsid w:val="007F4665"/>
    <w:rsid w:val="00826762"/>
    <w:rsid w:val="00827C6B"/>
    <w:rsid w:val="00876464"/>
    <w:rsid w:val="00887E9B"/>
    <w:rsid w:val="008A6262"/>
    <w:rsid w:val="008C1229"/>
    <w:rsid w:val="008D54EC"/>
    <w:rsid w:val="00902FD5"/>
    <w:rsid w:val="009132D7"/>
    <w:rsid w:val="00956650"/>
    <w:rsid w:val="00957C66"/>
    <w:rsid w:val="00961452"/>
    <w:rsid w:val="009677B7"/>
    <w:rsid w:val="009777DA"/>
    <w:rsid w:val="00982F0F"/>
    <w:rsid w:val="009928F9"/>
    <w:rsid w:val="009D1716"/>
    <w:rsid w:val="009D299C"/>
    <w:rsid w:val="009D6B67"/>
    <w:rsid w:val="009F60AC"/>
    <w:rsid w:val="00A12538"/>
    <w:rsid w:val="00A146AB"/>
    <w:rsid w:val="00A26A35"/>
    <w:rsid w:val="00A445D2"/>
    <w:rsid w:val="00A520C9"/>
    <w:rsid w:val="00A934BE"/>
    <w:rsid w:val="00A941CD"/>
    <w:rsid w:val="00AA0F10"/>
    <w:rsid w:val="00AB6DCA"/>
    <w:rsid w:val="00AC4314"/>
    <w:rsid w:val="00AE7859"/>
    <w:rsid w:val="00B10897"/>
    <w:rsid w:val="00B156D4"/>
    <w:rsid w:val="00B30A88"/>
    <w:rsid w:val="00B323A5"/>
    <w:rsid w:val="00B54523"/>
    <w:rsid w:val="00B73BD8"/>
    <w:rsid w:val="00BA665E"/>
    <w:rsid w:val="00BB43CA"/>
    <w:rsid w:val="00BB5A04"/>
    <w:rsid w:val="00BB6542"/>
    <w:rsid w:val="00BE297F"/>
    <w:rsid w:val="00C10AE9"/>
    <w:rsid w:val="00C226B9"/>
    <w:rsid w:val="00C441A9"/>
    <w:rsid w:val="00C45F22"/>
    <w:rsid w:val="00C63AFE"/>
    <w:rsid w:val="00C732CB"/>
    <w:rsid w:val="00C97B27"/>
    <w:rsid w:val="00CB203C"/>
    <w:rsid w:val="00CE03B9"/>
    <w:rsid w:val="00CF3F1D"/>
    <w:rsid w:val="00CF6DA0"/>
    <w:rsid w:val="00D032AE"/>
    <w:rsid w:val="00D04912"/>
    <w:rsid w:val="00D1065C"/>
    <w:rsid w:val="00D567A3"/>
    <w:rsid w:val="00D724EE"/>
    <w:rsid w:val="00D73FAC"/>
    <w:rsid w:val="00D92B3D"/>
    <w:rsid w:val="00DA49FC"/>
    <w:rsid w:val="00DB2875"/>
    <w:rsid w:val="00DC065F"/>
    <w:rsid w:val="00DD1896"/>
    <w:rsid w:val="00DE3654"/>
    <w:rsid w:val="00DE52DD"/>
    <w:rsid w:val="00E03BC8"/>
    <w:rsid w:val="00E03E10"/>
    <w:rsid w:val="00E042F8"/>
    <w:rsid w:val="00E33D05"/>
    <w:rsid w:val="00E7642F"/>
    <w:rsid w:val="00E87BBC"/>
    <w:rsid w:val="00E90E65"/>
    <w:rsid w:val="00EA0774"/>
    <w:rsid w:val="00EA52B8"/>
    <w:rsid w:val="00EB5458"/>
    <w:rsid w:val="00EB5FCC"/>
    <w:rsid w:val="00EB7FDE"/>
    <w:rsid w:val="00F05D74"/>
    <w:rsid w:val="00F12DE3"/>
    <w:rsid w:val="00F511A8"/>
    <w:rsid w:val="00F5271D"/>
    <w:rsid w:val="00F7629A"/>
    <w:rsid w:val="00F81178"/>
    <w:rsid w:val="00FA0E96"/>
    <w:rsid w:val="00FA3041"/>
    <w:rsid w:val="00FA3826"/>
    <w:rsid w:val="00FC5F63"/>
    <w:rsid w:val="00FC6C23"/>
    <w:rsid w:val="00FC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6FC8"/>
  <w15:chartTrackingRefBased/>
  <w15:docId w15:val="{56035334-1DB9-427B-95E2-1D3BF441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E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77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Bullet list Char"/>
    <w:link w:val="ListParagraph"/>
    <w:uiPriority w:val="34"/>
    <w:qFormat/>
    <w:locked/>
    <w:rsid w:val="00327593"/>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Bullet list"/>
    <w:basedOn w:val="Normal"/>
    <w:link w:val="ListParagraphChar"/>
    <w:uiPriority w:val="34"/>
    <w:qFormat/>
    <w:rsid w:val="00327593"/>
    <w:pPr>
      <w:spacing w:after="160" w:line="256" w:lineRule="auto"/>
      <w:ind w:left="720"/>
      <w:contextualSpacing/>
    </w:pPr>
  </w:style>
  <w:style w:type="table" w:customStyle="1" w:styleId="TableGrid">
    <w:name w:val="TableGrid"/>
    <w:rsid w:val="00327593"/>
    <w:rPr>
      <w:rFonts w:asciiTheme="minorHAnsi" w:eastAsiaTheme="minorEastAsia" w:hAnsiTheme="minorHAnsi" w:cstheme="minorBidi"/>
      <w:b/>
      <w:bCs/>
      <w:szCs w:val="24"/>
      <w:lang w:val="cs-CZ" w:eastAsia="en-GB"/>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327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
      <w:bCs/>
      <w:sz w:val="20"/>
    </w:rPr>
  </w:style>
  <w:style w:type="character" w:customStyle="1" w:styleId="HTMLPreformattedChar">
    <w:name w:val="HTML Preformatted Char"/>
    <w:basedOn w:val="DefaultParagraphFont"/>
    <w:link w:val="HTMLPreformatted"/>
    <w:uiPriority w:val="99"/>
    <w:rsid w:val="00327593"/>
    <w:rPr>
      <w:rFonts w:ascii="Courier New" w:eastAsia="Times New Roman" w:hAnsi="Courier New" w:cs="Courier New"/>
      <w:b/>
      <w:bCs/>
      <w:sz w:val="20"/>
    </w:rPr>
  </w:style>
  <w:style w:type="character" w:customStyle="1" w:styleId="y2iqfc">
    <w:name w:val="y2iqfc"/>
    <w:basedOn w:val="DefaultParagraphFont"/>
    <w:rsid w:val="00327593"/>
  </w:style>
  <w:style w:type="character" w:styleId="Hyperlink">
    <w:name w:val="Hyperlink"/>
    <w:basedOn w:val="DefaultParagraphFont"/>
    <w:uiPriority w:val="99"/>
    <w:unhideWhenUsed/>
    <w:rsid w:val="00510854"/>
    <w:rPr>
      <w:color w:val="0000FF"/>
      <w:u w:val="single"/>
    </w:rPr>
  </w:style>
  <w:style w:type="character" w:styleId="Strong">
    <w:name w:val="Strong"/>
    <w:basedOn w:val="DefaultParagraphFont"/>
    <w:uiPriority w:val="22"/>
    <w:qFormat/>
    <w:rsid w:val="00510854"/>
    <w:rPr>
      <w:b/>
      <w:bCs/>
    </w:rPr>
  </w:style>
  <w:style w:type="paragraph" w:styleId="FootnoteText">
    <w:name w:val="footnote text"/>
    <w:basedOn w:val="Normal"/>
    <w:link w:val="FootnoteTextChar"/>
    <w:uiPriority w:val="99"/>
    <w:semiHidden/>
    <w:unhideWhenUsed/>
    <w:rsid w:val="009928F9"/>
    <w:rPr>
      <w:sz w:val="20"/>
    </w:rPr>
  </w:style>
  <w:style w:type="character" w:customStyle="1" w:styleId="FootnoteTextChar">
    <w:name w:val="Footnote Text Char"/>
    <w:basedOn w:val="DefaultParagraphFont"/>
    <w:link w:val="FootnoteText"/>
    <w:uiPriority w:val="99"/>
    <w:semiHidden/>
    <w:rsid w:val="009928F9"/>
    <w:rPr>
      <w:sz w:val="20"/>
    </w:rPr>
  </w:style>
  <w:style w:type="character" w:styleId="FootnoteReference">
    <w:name w:val="footnote reference"/>
    <w:basedOn w:val="DefaultParagraphFont"/>
    <w:uiPriority w:val="99"/>
    <w:semiHidden/>
    <w:unhideWhenUsed/>
    <w:rsid w:val="009928F9"/>
    <w:rPr>
      <w:vertAlign w:val="superscript"/>
    </w:rPr>
  </w:style>
  <w:style w:type="character" w:customStyle="1" w:styleId="Heading1Char">
    <w:name w:val="Heading 1 Char"/>
    <w:basedOn w:val="DefaultParagraphFont"/>
    <w:link w:val="Heading1"/>
    <w:uiPriority w:val="9"/>
    <w:rsid w:val="00416E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7734"/>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902FD5"/>
    <w:pPr>
      <w:spacing w:after="160"/>
    </w:pPr>
    <w:rPr>
      <w:rFonts w:asciiTheme="minorHAnsi" w:hAnsiTheme="minorHAnsi" w:cstheme="minorBidi"/>
      <w:b/>
      <w:bCs/>
      <w:sz w:val="20"/>
      <w:lang w:val="ro-RO"/>
    </w:rPr>
  </w:style>
  <w:style w:type="character" w:customStyle="1" w:styleId="CommentTextChar">
    <w:name w:val="Comment Text Char"/>
    <w:basedOn w:val="DefaultParagraphFont"/>
    <w:link w:val="CommentText"/>
    <w:uiPriority w:val="99"/>
    <w:rsid w:val="00902FD5"/>
    <w:rPr>
      <w:rFonts w:asciiTheme="minorHAnsi" w:hAnsiTheme="minorHAnsi" w:cstheme="minorBidi"/>
      <w:b/>
      <w:bCs/>
      <w:sz w:val="20"/>
      <w:lang w:val="ro-RO"/>
    </w:rPr>
  </w:style>
  <w:style w:type="paragraph" w:styleId="TOCHeading">
    <w:name w:val="TOC Heading"/>
    <w:basedOn w:val="Heading1"/>
    <w:next w:val="Normal"/>
    <w:uiPriority w:val="39"/>
    <w:unhideWhenUsed/>
    <w:qFormat/>
    <w:rsid w:val="00AE7859"/>
    <w:pPr>
      <w:spacing w:line="259" w:lineRule="auto"/>
      <w:outlineLvl w:val="9"/>
    </w:pPr>
    <w:rPr>
      <w:b/>
      <w:bCs/>
    </w:rPr>
  </w:style>
  <w:style w:type="paragraph" w:styleId="TOC1">
    <w:name w:val="toc 1"/>
    <w:basedOn w:val="Normal"/>
    <w:next w:val="Normal"/>
    <w:autoRedefine/>
    <w:uiPriority w:val="39"/>
    <w:unhideWhenUsed/>
    <w:rsid w:val="00AE7859"/>
    <w:pPr>
      <w:spacing w:after="100"/>
    </w:pPr>
  </w:style>
  <w:style w:type="paragraph" w:styleId="TOC2">
    <w:name w:val="toc 2"/>
    <w:basedOn w:val="Normal"/>
    <w:next w:val="Normal"/>
    <w:autoRedefine/>
    <w:uiPriority w:val="39"/>
    <w:unhideWhenUsed/>
    <w:rsid w:val="00AE7859"/>
    <w:pPr>
      <w:spacing w:after="100"/>
      <w:ind w:left="240"/>
    </w:pPr>
  </w:style>
  <w:style w:type="character" w:styleId="IntenseEmphasis">
    <w:name w:val="Intense Emphasis"/>
    <w:basedOn w:val="DefaultParagraphFont"/>
    <w:uiPriority w:val="21"/>
    <w:qFormat/>
    <w:rsid w:val="00007542"/>
    <w:rPr>
      <w:i/>
      <w:iCs/>
      <w:color w:val="4472C4" w:themeColor="accent1"/>
    </w:rPr>
  </w:style>
  <w:style w:type="table" w:styleId="TableGrid0">
    <w:name w:val="Table Grid"/>
    <w:basedOn w:val="TableNormal"/>
    <w:uiPriority w:val="39"/>
    <w:rsid w:val="00007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D17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TableParagraph">
    <w:name w:val="Table Paragraph"/>
    <w:basedOn w:val="Normal"/>
    <w:uiPriority w:val="1"/>
    <w:qFormat/>
    <w:rsid w:val="00DE52DD"/>
    <w:pPr>
      <w:widowControl w:val="0"/>
      <w:autoSpaceDE w:val="0"/>
      <w:autoSpaceDN w:val="0"/>
    </w:pPr>
    <w:rPr>
      <w:rFonts w:ascii="Cambria" w:eastAsia="Cambria" w:hAnsi="Cambria" w:cs="Cambria"/>
      <w:b/>
      <w:bCs/>
      <w:sz w:val="22"/>
      <w:szCs w:val="22"/>
      <w:lang w:val="ro-RO"/>
    </w:rPr>
  </w:style>
  <w:style w:type="paragraph" w:styleId="BodyText">
    <w:name w:val="Body Text"/>
    <w:basedOn w:val="Normal"/>
    <w:link w:val="BodyTextChar"/>
    <w:uiPriority w:val="1"/>
    <w:qFormat/>
    <w:rsid w:val="00DE52DD"/>
    <w:pPr>
      <w:widowControl w:val="0"/>
      <w:autoSpaceDE w:val="0"/>
      <w:autoSpaceDN w:val="0"/>
    </w:pPr>
    <w:rPr>
      <w:rFonts w:ascii="Cambria" w:eastAsia="Cambria" w:hAnsi="Cambria" w:cs="Cambria"/>
      <w:b/>
      <w:bCs/>
      <w:sz w:val="19"/>
      <w:szCs w:val="19"/>
      <w:lang w:val="ro-RO"/>
    </w:rPr>
  </w:style>
  <w:style w:type="character" w:customStyle="1" w:styleId="BodyTextChar">
    <w:name w:val="Body Text Char"/>
    <w:basedOn w:val="DefaultParagraphFont"/>
    <w:link w:val="BodyText"/>
    <w:uiPriority w:val="1"/>
    <w:rsid w:val="00DE52DD"/>
    <w:rPr>
      <w:rFonts w:ascii="Cambria" w:eastAsia="Cambria" w:hAnsi="Cambria" w:cs="Cambria"/>
      <w:b/>
      <w:bCs/>
      <w:sz w:val="19"/>
      <w:szCs w:val="19"/>
      <w:lang w:val="ro-RO"/>
    </w:rPr>
  </w:style>
  <w:style w:type="paragraph" w:styleId="Revision">
    <w:name w:val="Revision"/>
    <w:hidden/>
    <w:uiPriority w:val="99"/>
    <w:semiHidden/>
    <w:rsid w:val="00C63AFE"/>
  </w:style>
  <w:style w:type="paragraph" w:styleId="Header">
    <w:name w:val="header"/>
    <w:aliases w:val="Char"/>
    <w:basedOn w:val="Normal"/>
    <w:link w:val="HeaderChar"/>
    <w:uiPriority w:val="99"/>
    <w:unhideWhenUsed/>
    <w:rsid w:val="008A6262"/>
    <w:pPr>
      <w:tabs>
        <w:tab w:val="center" w:pos="4680"/>
        <w:tab w:val="right" w:pos="9360"/>
      </w:tabs>
    </w:pPr>
  </w:style>
  <w:style w:type="character" w:customStyle="1" w:styleId="HeaderChar">
    <w:name w:val="Header Char"/>
    <w:aliases w:val="Char Char"/>
    <w:basedOn w:val="DefaultParagraphFont"/>
    <w:link w:val="Header"/>
    <w:uiPriority w:val="99"/>
    <w:rsid w:val="008A6262"/>
  </w:style>
  <w:style w:type="paragraph" w:styleId="Footer">
    <w:name w:val="footer"/>
    <w:basedOn w:val="Normal"/>
    <w:link w:val="FooterChar"/>
    <w:uiPriority w:val="99"/>
    <w:unhideWhenUsed/>
    <w:rsid w:val="008A6262"/>
    <w:pPr>
      <w:tabs>
        <w:tab w:val="center" w:pos="4680"/>
        <w:tab w:val="right" w:pos="9360"/>
      </w:tabs>
    </w:pPr>
  </w:style>
  <w:style w:type="character" w:customStyle="1" w:styleId="FooterChar">
    <w:name w:val="Footer Char"/>
    <w:basedOn w:val="DefaultParagraphFont"/>
    <w:link w:val="Footer"/>
    <w:uiPriority w:val="99"/>
    <w:rsid w:val="008A6262"/>
  </w:style>
  <w:style w:type="paragraph" w:customStyle="1" w:styleId="CM1">
    <w:name w:val="CM1"/>
    <w:basedOn w:val="Normal"/>
    <w:next w:val="Normal"/>
    <w:uiPriority w:val="99"/>
    <w:rsid w:val="00734948"/>
    <w:pPr>
      <w:autoSpaceDE w:val="0"/>
      <w:autoSpaceDN w:val="0"/>
      <w:adjustRightInd w:val="0"/>
    </w:pPr>
    <w:rPr>
      <w:rFonts w:ascii="EU Albertina" w:hAnsi="EU Albertina"/>
      <w:szCs w:val="24"/>
    </w:rPr>
  </w:style>
  <w:style w:type="paragraph" w:customStyle="1" w:styleId="CM3">
    <w:name w:val="CM3"/>
    <w:basedOn w:val="Normal"/>
    <w:next w:val="Normal"/>
    <w:uiPriority w:val="99"/>
    <w:rsid w:val="00734948"/>
    <w:pPr>
      <w:autoSpaceDE w:val="0"/>
      <w:autoSpaceDN w:val="0"/>
      <w:adjustRightInd w:val="0"/>
    </w:pPr>
    <w:rPr>
      <w:rFonts w:ascii="EU Albertina" w:hAnsi="EU Albertina"/>
      <w:szCs w:val="24"/>
    </w:rPr>
  </w:style>
  <w:style w:type="paragraph" w:styleId="BalloonText">
    <w:name w:val="Balloon Text"/>
    <w:basedOn w:val="Normal"/>
    <w:link w:val="BalloonTextChar"/>
    <w:uiPriority w:val="99"/>
    <w:semiHidden/>
    <w:unhideWhenUsed/>
    <w:rsid w:val="008267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2409">
      <w:bodyDiv w:val="1"/>
      <w:marLeft w:val="0"/>
      <w:marRight w:val="0"/>
      <w:marTop w:val="0"/>
      <w:marBottom w:val="0"/>
      <w:divBdr>
        <w:top w:val="none" w:sz="0" w:space="0" w:color="auto"/>
        <w:left w:val="none" w:sz="0" w:space="0" w:color="auto"/>
        <w:bottom w:val="none" w:sz="0" w:space="0" w:color="auto"/>
        <w:right w:val="none" w:sz="0" w:space="0" w:color="auto"/>
      </w:divBdr>
    </w:div>
    <w:div w:id="483014845">
      <w:bodyDiv w:val="1"/>
      <w:marLeft w:val="0"/>
      <w:marRight w:val="0"/>
      <w:marTop w:val="0"/>
      <w:marBottom w:val="0"/>
      <w:divBdr>
        <w:top w:val="none" w:sz="0" w:space="0" w:color="auto"/>
        <w:left w:val="none" w:sz="0" w:space="0" w:color="auto"/>
        <w:bottom w:val="none" w:sz="0" w:space="0" w:color="auto"/>
        <w:right w:val="none" w:sz="0" w:space="0" w:color="auto"/>
      </w:divBdr>
    </w:div>
    <w:div w:id="503475695">
      <w:bodyDiv w:val="1"/>
      <w:marLeft w:val="0"/>
      <w:marRight w:val="0"/>
      <w:marTop w:val="0"/>
      <w:marBottom w:val="0"/>
      <w:divBdr>
        <w:top w:val="none" w:sz="0" w:space="0" w:color="auto"/>
        <w:left w:val="none" w:sz="0" w:space="0" w:color="auto"/>
        <w:bottom w:val="none" w:sz="0" w:space="0" w:color="auto"/>
        <w:right w:val="none" w:sz="0" w:space="0" w:color="auto"/>
      </w:divBdr>
    </w:div>
    <w:div w:id="689143045">
      <w:bodyDiv w:val="1"/>
      <w:marLeft w:val="0"/>
      <w:marRight w:val="0"/>
      <w:marTop w:val="0"/>
      <w:marBottom w:val="0"/>
      <w:divBdr>
        <w:top w:val="none" w:sz="0" w:space="0" w:color="auto"/>
        <w:left w:val="none" w:sz="0" w:space="0" w:color="auto"/>
        <w:bottom w:val="none" w:sz="0" w:space="0" w:color="auto"/>
        <w:right w:val="none" w:sz="0" w:space="0" w:color="auto"/>
      </w:divBdr>
    </w:div>
    <w:div w:id="711534538">
      <w:bodyDiv w:val="1"/>
      <w:marLeft w:val="0"/>
      <w:marRight w:val="0"/>
      <w:marTop w:val="0"/>
      <w:marBottom w:val="0"/>
      <w:divBdr>
        <w:top w:val="none" w:sz="0" w:space="0" w:color="auto"/>
        <w:left w:val="none" w:sz="0" w:space="0" w:color="auto"/>
        <w:bottom w:val="none" w:sz="0" w:space="0" w:color="auto"/>
        <w:right w:val="none" w:sz="0" w:space="0" w:color="auto"/>
      </w:divBdr>
    </w:div>
    <w:div w:id="963000680">
      <w:bodyDiv w:val="1"/>
      <w:marLeft w:val="0"/>
      <w:marRight w:val="0"/>
      <w:marTop w:val="0"/>
      <w:marBottom w:val="0"/>
      <w:divBdr>
        <w:top w:val="none" w:sz="0" w:space="0" w:color="auto"/>
        <w:left w:val="none" w:sz="0" w:space="0" w:color="auto"/>
        <w:bottom w:val="none" w:sz="0" w:space="0" w:color="auto"/>
        <w:right w:val="none" w:sz="0" w:space="0" w:color="auto"/>
      </w:divBdr>
    </w:div>
    <w:div w:id="1496267213">
      <w:bodyDiv w:val="1"/>
      <w:marLeft w:val="0"/>
      <w:marRight w:val="0"/>
      <w:marTop w:val="0"/>
      <w:marBottom w:val="0"/>
      <w:divBdr>
        <w:top w:val="none" w:sz="0" w:space="0" w:color="auto"/>
        <w:left w:val="none" w:sz="0" w:space="0" w:color="auto"/>
        <w:bottom w:val="none" w:sz="0" w:space="0" w:color="auto"/>
        <w:right w:val="none" w:sz="0" w:space="0" w:color="auto"/>
      </w:divBdr>
    </w:div>
    <w:div w:id="15401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0582-0B4C-40E0-95D9-5E9B6D0D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Costachescu</dc:creator>
  <cp:keywords/>
  <dc:description/>
  <cp:lastModifiedBy>spla</cp:lastModifiedBy>
  <cp:revision>28</cp:revision>
  <cp:lastPrinted>2023-10-18T10:57:00Z</cp:lastPrinted>
  <dcterms:created xsi:type="dcterms:W3CDTF">2023-09-19T06:33:00Z</dcterms:created>
  <dcterms:modified xsi:type="dcterms:W3CDTF">2025-11-19T08:09:00Z</dcterms:modified>
</cp:coreProperties>
</file>